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  <w:t xml:space="preserve">Технические требования на поставку продукции.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  <w:t xml:space="preserve">ОКПД2 19.20.2 Поставка турбинного масла для СП «Хабаровская ТЭЦ-3» АО ДГК,  г. Хабаровск</w:t>
      </w:r>
      <w:r>
        <w:rPr>
          <w:rFonts w:eastAsia="Calibri"/>
        </w:rPr>
      </w:r>
      <w:r>
        <w:rPr>
          <w:rFonts w:eastAsia="Calibri"/>
        </w:rPr>
      </w:r>
    </w:p>
    <w:p>
      <w:pPr>
        <w:jc w:val="center"/>
        <w:keepLines/>
        <w:keepNext/>
        <w:rPr>
          <w:rFonts w:eastAsia="Calibri"/>
        </w:rPr>
      </w:pPr>
      <w:r>
        <w:rPr>
          <w:rFonts w:eastAsia="Calibri"/>
          <w:highlight w:val="none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jc w:val="center"/>
        <w:keepLines/>
        <w:keepNext/>
        <w:rPr>
          <w:rFonts w:eastAsia="Calibri"/>
          <w:highlight w:val="none"/>
        </w:rPr>
      </w:pPr>
      <w:r>
        <w:rPr>
          <w:rFonts w:eastAsia="Calibri"/>
          <w:highlight w:val="none"/>
        </w:rPr>
      </w:r>
      <w:r>
        <w:rPr>
          <w:rFonts w:eastAsia="Calibri"/>
        </w:rPr>
        <w:t xml:space="preserve">42016195-ЭКСП ПРОД-2026-ДГК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jc w:val="center"/>
        <w:keepLines/>
        <w:keepNext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</w:r>
      <w:r>
        <w:rPr>
          <w:rFonts w:eastAsia="Calibri"/>
          <w:color w:val="000000" w:themeColor="text1"/>
        </w:rPr>
      </w:r>
      <w:r>
        <w:rPr>
          <w:rFonts w:eastAsia="Calibri"/>
          <w:color w:val="000000" w:themeColor="text1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br w:type="page" w:clear="all"/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dt>
      <w:sdtPr>
        <w15:appearance w15:val="boundingBox"/>
        <w:id w:val="614713339"/>
        <w:docPartObj>
          <w:docPartGallery w:val="Table of Contents"/>
          <w:docPartUnique w:val="true"/>
        </w:docPartObj>
        <w:rPr/>
      </w:sdtPr>
      <w:sdtContent>
        <w:p>
          <w:pPr>
            <w:pStyle w:val="1058"/>
            <w:jc w:val="both"/>
            <w:tabs>
              <w:tab w:val="left" w:pos="567" w:leader="none"/>
              <w:tab w:val="right" w:pos="9921" w:leader="dot"/>
            </w:tabs>
            <w:rPr>
              <w:rFonts w:cs="Times New Roman"/>
              <w:i/>
              <w:caps/>
            </w:rPr>
          </w:pPr>
          <w:r>
            <w:fldChar w:fldCharType="begin"/>
          </w:r>
          <w:r>
            <w:rPr>
              <w:rStyle w:val="1032"/>
              <w:rFonts w:cs="Times New Roman"/>
            </w:rPr>
            <w:instrText xml:space="preserve"> TOC \o "1-9" \h</w:instrText>
          </w:r>
          <w:r>
            <w:rPr>
              <w:rStyle w:val="1032"/>
              <w:rFonts w:cs="Times New Roman"/>
            </w:rPr>
            <w:fldChar w:fldCharType="separate"/>
          </w:r>
          <w:hyperlink w:tooltip="#_Toc1" w:anchor="_Toc1" w:history="1">
            <w:r>
              <w:rPr>
                <w:rStyle w:val="1032"/>
                <w:rFonts w:cs="Times New Roman"/>
              </w:rPr>
              <w:t xml:space="preserve">1.</w:t>
            </w:r>
            <w:r>
              <w:fldChar w:fldCharType="begin"/>
            </w:r>
            <w:r>
              <w:instrText xml:space="preserve">PAGEREF _Toc1 \h</w:instrText>
            </w:r>
            <w:r>
              <w:fldChar w:fldCharType="separate"/>
            </w:r>
            <w:r>
              <w:rPr>
                <w:rStyle w:val="1032"/>
              </w:rPr>
              <w:tab/>
              <w:t xml:space="preserve"> Общие сведения</w:t>
            </w:r>
            <w:r>
              <w:rPr>
                <w:rStyle w:val="1032"/>
              </w:rPr>
              <w:tab/>
              <w:t xml:space="preserve">2</w:t>
            </w:r>
            <w:r>
              <w:fldChar w:fldCharType="end"/>
            </w:r>
          </w:hyperlink>
          <w:r>
            <w:rPr>
              <w:rFonts w:cs="Times New Roman"/>
              <w:i/>
              <w:caps/>
            </w:rPr>
          </w:r>
          <w:r>
            <w:rPr>
              <w:rFonts w:cs="Times New Roman"/>
              <w:i/>
              <w:caps/>
            </w:rPr>
          </w:r>
        </w:p>
        <w:p>
          <w:pPr>
            <w:pStyle w:val="1062"/>
            <w:jc w:val="both"/>
            <w:tabs>
              <w:tab w:val="left" w:pos="850" w:leader="none"/>
              <w:tab w:val="right" w:pos="9921" w:leader="dot"/>
            </w:tabs>
            <w:rPr>
              <w:sz w:val="24"/>
              <w:szCs w:val="24"/>
            </w:rPr>
          </w:pPr>
          <w:r/>
          <w:hyperlink w:tooltip="#_Toc2" w:anchor="_Toc2" w:history="1">
            <w:r>
              <w:rPr>
                <w:rStyle w:val="1032"/>
                <w:rFonts w:eastAsia="Calibri" w:cs="Times New Roman"/>
                <w:sz w:val="24"/>
                <w:szCs w:val="24"/>
              </w:rPr>
              <w:t xml:space="preserve">1.1.</w:t>
            </w:r>
            <w:r>
              <w:fldChar w:fldCharType="begin"/>
            </w:r>
            <w:r>
              <w:instrText xml:space="preserve">PAGEREF _Toc2 \h</w:instrText>
            </w:r>
            <w:r>
              <w:fldChar w:fldCharType="separate"/>
            </w:r>
            <w:r>
              <w:rPr>
                <w:rStyle w:val="1032"/>
                <w:sz w:val="24"/>
                <w:szCs w:val="24"/>
              </w:rPr>
              <w:tab/>
              <w:t xml:space="preserve">Обозначения и сокращения</w:t>
            </w:r>
            <w:r>
              <w:rPr>
                <w:rStyle w:val="1032"/>
                <w:sz w:val="24"/>
                <w:szCs w:val="24"/>
              </w:rPr>
              <w:tab/>
              <w:t xml:space="preserve">3</w:t>
            </w:r>
            <w:r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62"/>
            <w:jc w:val="both"/>
            <w:tabs>
              <w:tab w:val="left" w:pos="850" w:leader="none"/>
              <w:tab w:val="right" w:pos="9921" w:leader="dot"/>
            </w:tabs>
            <w:rPr>
              <w:sz w:val="24"/>
              <w:szCs w:val="24"/>
            </w:rPr>
          </w:pPr>
          <w:r/>
          <w:hyperlink w:tooltip="#_Toc3" w:anchor="_Toc3" w:history="1">
            <w:r>
              <w:rPr>
                <w:rStyle w:val="1032"/>
                <w:rFonts w:eastAsia="Calibri" w:cs="Times New Roman"/>
                <w:sz w:val="24"/>
                <w:szCs w:val="24"/>
              </w:rPr>
              <w:t xml:space="preserve">1.2.</w:t>
            </w:r>
            <w:r>
              <w:fldChar w:fldCharType="begin"/>
            </w:r>
            <w:r>
              <w:instrText xml:space="preserve">PAGEREF _Toc3 \h</w:instrText>
            </w:r>
            <w:r>
              <w:fldChar w:fldCharType="separate"/>
            </w:r>
            <w:r>
              <w:rPr>
                <w:rStyle w:val="1032"/>
                <w:sz w:val="24"/>
                <w:szCs w:val="24"/>
              </w:rPr>
              <w:tab/>
              <w:t xml:space="preserve">Наименование закупаемой продукции</w:t>
            </w:r>
            <w:r>
              <w:rPr>
                <w:rStyle w:val="1032"/>
                <w:sz w:val="24"/>
                <w:szCs w:val="24"/>
              </w:rPr>
              <w:tab/>
              <w:t xml:space="preserve">4</w:t>
            </w:r>
            <w:r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62"/>
            <w:jc w:val="both"/>
            <w:tabs>
              <w:tab w:val="left" w:pos="850" w:leader="none"/>
              <w:tab w:val="right" w:pos="9921" w:leader="dot"/>
            </w:tabs>
            <w:rPr>
              <w:sz w:val="24"/>
              <w:szCs w:val="24"/>
            </w:rPr>
          </w:pPr>
          <w:r/>
          <w:hyperlink w:tooltip="#_Toc4" w:anchor="_Toc4" w:history="1">
            <w:r>
              <w:rPr>
                <w:rStyle w:val="1032"/>
                <w:rFonts w:eastAsia="Calibri" w:cs="Times New Roman"/>
                <w:sz w:val="24"/>
                <w:szCs w:val="24"/>
              </w:rPr>
              <w:t xml:space="preserve">1.3.</w:t>
            </w:r>
            <w:r>
              <w:fldChar w:fldCharType="begin"/>
            </w:r>
            <w:r>
              <w:instrText xml:space="preserve">PAGEREF _Toc4 \h</w:instrText>
            </w:r>
            <w:r>
              <w:fldChar w:fldCharType="separate"/>
            </w:r>
            <w:r>
              <w:rPr>
                <w:rStyle w:val="1032"/>
                <w:sz w:val="24"/>
                <w:szCs w:val="24"/>
              </w:rPr>
              <w:tab/>
              <w:t xml:space="preserve">Цель использования закупаемой продукции </w:t>
            </w:r>
            <w:r>
              <w:rPr>
                <w:rStyle w:val="1032"/>
                <w:sz w:val="24"/>
                <w:szCs w:val="24"/>
              </w:rPr>
              <w:tab/>
              <w:t xml:space="preserve">4</w:t>
            </w:r>
            <w:r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58"/>
            <w:jc w:val="both"/>
            <w:tabs>
              <w:tab w:val="left" w:pos="567" w:leader="none"/>
              <w:tab w:val="right" w:pos="9921" w:leader="dot"/>
            </w:tabs>
            <w:rPr>
              <w:caps/>
            </w:rPr>
          </w:pPr>
          <w:r/>
          <w:hyperlink w:tooltip="#_Toc5" w:anchor="_Toc5" w:history="1">
            <w:r>
              <w:rPr>
                <w:rStyle w:val="1032"/>
                <w:rFonts w:eastAsia="Calibri" w:cs="Times New Roman"/>
              </w:rPr>
              <w:t xml:space="preserve">2.</w:t>
            </w:r>
            <w:r>
              <w:fldChar w:fldCharType="begin"/>
            </w:r>
            <w:r>
              <w:instrText xml:space="preserve">PAGEREF _Toc5 \h</w:instrText>
            </w:r>
            <w:r>
              <w:fldChar w:fldCharType="separate"/>
            </w:r>
            <w:r>
              <w:rPr>
                <w:rStyle w:val="1032"/>
              </w:rPr>
              <w:tab/>
              <w:t xml:space="preserve">Требования к продукции</w:t>
            </w:r>
            <w:r>
              <w:rPr>
                <w:rStyle w:val="1032"/>
              </w:rPr>
              <w:tab/>
              <w:t xml:space="preserve">4</w:t>
            </w:r>
            <w:r>
              <w:fldChar w:fldCharType="end"/>
            </w:r>
          </w:hyperlink>
          <w:r>
            <w:rPr>
              <w:caps/>
            </w:rPr>
          </w:r>
          <w:r>
            <w:rPr>
              <w:caps/>
            </w:rPr>
          </w:r>
        </w:p>
        <w:p>
          <w:pPr>
            <w:pStyle w:val="1062"/>
            <w:jc w:val="both"/>
            <w:tabs>
              <w:tab w:val="left" w:pos="850" w:leader="none"/>
              <w:tab w:val="right" w:pos="9921" w:leader="dot"/>
            </w:tabs>
            <w:rPr>
              <w:sz w:val="24"/>
              <w:szCs w:val="24"/>
            </w:rPr>
          </w:pPr>
          <w:r/>
          <w:hyperlink w:tooltip="#_Toc6" w:anchor="_Toc6" w:history="1">
            <w:r>
              <w:rPr>
                <w:rStyle w:val="1032"/>
                <w:rFonts w:eastAsia="Calibri" w:cs="Times New Roman"/>
                <w:sz w:val="24"/>
                <w:szCs w:val="24"/>
              </w:rPr>
              <w:t xml:space="preserve">2.1.</w:t>
            </w:r>
            <w:r>
              <w:fldChar w:fldCharType="begin"/>
            </w:r>
            <w:r>
              <w:instrText xml:space="preserve">PAGEREF _Toc6 \h</w:instrText>
            </w:r>
            <w:r>
              <w:fldChar w:fldCharType="separate"/>
            </w:r>
            <w:r>
              <w:rPr>
                <w:rStyle w:val="1032"/>
                <w:sz w:val="24"/>
                <w:szCs w:val="24"/>
              </w:rPr>
              <w:tab/>
              <w:t xml:space="preserve">Требования к номенклатуре, качеству, объемам, условиям и адресам поставки</w:t>
            </w:r>
            <w:r>
              <w:rPr>
                <w:rStyle w:val="1032"/>
                <w:sz w:val="24"/>
                <w:szCs w:val="24"/>
              </w:rPr>
              <w:tab/>
              <w:t xml:space="preserve">4</w:t>
            </w:r>
            <w:r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62"/>
            <w:jc w:val="both"/>
            <w:tabs>
              <w:tab w:val="left" w:pos="850" w:leader="none"/>
              <w:tab w:val="right" w:pos="9921" w:leader="dot"/>
            </w:tabs>
            <w:rPr>
              <w:sz w:val="24"/>
              <w:szCs w:val="24"/>
            </w:rPr>
          </w:pPr>
          <w:r/>
          <w:hyperlink w:tooltip="#_Toc7" w:anchor="_Toc7" w:history="1">
            <w:r>
              <w:rPr>
                <w:rStyle w:val="1032"/>
                <w:rFonts w:eastAsia="Calibri" w:cs="Times New Roman"/>
                <w:sz w:val="24"/>
                <w:szCs w:val="24"/>
              </w:rPr>
              <w:t xml:space="preserve">2.2.</w:t>
            </w:r>
            <w:r>
              <w:rPr>
                <w:rStyle w:val="1032"/>
                <w:sz w:val="24"/>
                <w:szCs w:val="24"/>
              </w:rPr>
              <w:tab/>
            </w:r>
            <w:r>
              <w:rPr>
                <w:rStyle w:val="1032"/>
                <w:sz w:val="24"/>
                <w:szCs w:val="24"/>
                <w:lang w:val="en-US"/>
              </w:rPr>
              <w:t xml:space="preserve">Т</w:t>
            </w:r>
            <w:r>
              <w:rPr>
                <w:rStyle w:val="1032"/>
                <w:sz w:val="24"/>
                <w:szCs w:val="24"/>
              </w:rPr>
              <w:t xml:space="preserve">ребовани</w:t>
            </w:r>
            <w:r>
              <w:rPr>
                <w:rStyle w:val="1032"/>
                <w:sz w:val="24"/>
                <w:szCs w:val="24"/>
                <w:lang w:val="en-US"/>
              </w:rPr>
              <w:t xml:space="preserve">я</w:t>
            </w:r>
            <w:r>
              <w:fldChar w:fldCharType="begin"/>
            </w:r>
            <w:r>
              <w:instrText xml:space="preserve">PAGEREF _Toc7 \h</w:instrText>
            </w:r>
            <w:r>
              <w:fldChar w:fldCharType="separate"/>
            </w:r>
            <w:r>
              <w:rPr>
                <w:rStyle w:val="1032"/>
                <w:sz w:val="24"/>
                <w:szCs w:val="24"/>
              </w:rPr>
              <w:t xml:space="preserve"> к эквивалентной продукции</w:t>
            </w:r>
            <w:r>
              <w:rPr>
                <w:rStyle w:val="1032"/>
                <w:sz w:val="24"/>
                <w:szCs w:val="24"/>
              </w:rPr>
              <w:tab/>
              <w:t xml:space="preserve">4</w:t>
            </w:r>
            <w:r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62"/>
            <w:jc w:val="both"/>
            <w:tabs>
              <w:tab w:val="right" w:pos="9921" w:leader="dot"/>
            </w:tabs>
            <w:rPr>
              <w:sz w:val="24"/>
              <w:szCs w:val="24"/>
            </w:rPr>
          </w:pPr>
          <w:r/>
          <w:hyperlink w:tooltip="#_Toc8" w:anchor="_Toc8" w:history="1">
            <w:r>
              <w:rPr>
                <w:rStyle w:val="1032"/>
                <w:sz w:val="24"/>
                <w:szCs w:val="24"/>
                <w:lang w:val="en-US"/>
              </w:rPr>
              <w:t xml:space="preserve">Таблица №1</w:t>
            </w:r>
            <w:r>
              <w:fldChar w:fldCharType="begin"/>
            </w:r>
            <w:r>
              <w:instrText xml:space="preserve">PAGEREF _Toc8 \h</w:instrText>
            </w:r>
            <w:r>
              <w:fldChar w:fldCharType="separate"/>
            </w:r>
            <w:r>
              <w:rPr>
                <w:rStyle w:val="1032"/>
                <w:sz w:val="24"/>
                <w:szCs w:val="24"/>
              </w:rPr>
              <w:tab/>
              <w:t xml:space="preserve">4</w:t>
            </w:r>
            <w:r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62"/>
            <w:jc w:val="both"/>
            <w:tabs>
              <w:tab w:val="left" w:pos="850" w:leader="none"/>
              <w:tab w:val="right" w:pos="9921" w:leader="dot"/>
            </w:tabs>
            <w:rPr>
              <w:sz w:val="24"/>
              <w:szCs w:val="24"/>
            </w:rPr>
          </w:pPr>
          <w:r/>
          <w:hyperlink w:tooltip="#_Toc9" w:anchor="_Toc9" w:history="1">
            <w:r>
              <w:rPr>
                <w:rStyle w:val="1032"/>
                <w:rFonts w:cs="Times New Roman"/>
                <w:sz w:val="24"/>
                <w:szCs w:val="24"/>
              </w:rPr>
              <w:t xml:space="preserve">2.3.</w:t>
            </w:r>
            <w:r>
              <w:fldChar w:fldCharType="begin"/>
            </w:r>
            <w:r>
              <w:instrText xml:space="preserve">PAGEREF _Toc9 \h</w:instrText>
            </w:r>
            <w:r>
              <w:fldChar w:fldCharType="separate"/>
            </w:r>
            <w:r>
              <w:rPr>
                <w:rStyle w:val="1032"/>
                <w:sz w:val="24"/>
                <w:szCs w:val="24"/>
              </w:rPr>
              <w:tab/>
              <w:t xml:space="preserve">Требования к срокам поставки продукции и дополнительные требования к продукции</w:t>
            </w:r>
            <w:r>
              <w:rPr>
                <w:rStyle w:val="1032"/>
                <w:sz w:val="24"/>
                <w:szCs w:val="24"/>
              </w:rPr>
              <w:tab/>
              <w:t xml:space="preserve">5</w:t>
            </w:r>
            <w:r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62"/>
            <w:jc w:val="both"/>
            <w:tabs>
              <w:tab w:val="right" w:pos="9921" w:leader="dot"/>
            </w:tabs>
            <w:rPr>
              <w:sz w:val="24"/>
              <w:szCs w:val="24"/>
            </w:rPr>
          </w:pPr>
          <w:r/>
          <w:hyperlink w:tooltip="#_Toc10" w:anchor="_Toc10" w:history="1">
            <w:r>
              <w:rPr>
                <w:rStyle w:val="1032"/>
                <w:sz w:val="24"/>
                <w:szCs w:val="24"/>
                <w:lang w:val="en-US"/>
              </w:rPr>
              <w:t xml:space="preserve">Таблица 2 Требования по срокам поставки продукции </w:t>
            </w:r>
            <w:r>
              <w:fldChar w:fldCharType="begin"/>
            </w:r>
            <w:r>
              <w:instrText xml:space="preserve">PAGEREF _Toc10 \h</w:instrText>
            </w:r>
            <w:r>
              <w:fldChar w:fldCharType="separate"/>
            </w:r>
            <w:r>
              <w:rPr>
                <w:rStyle w:val="1032"/>
                <w:sz w:val="24"/>
                <w:szCs w:val="24"/>
              </w:rPr>
              <w:tab/>
              <w:t xml:space="preserve">5</w:t>
            </w:r>
            <w:r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62"/>
            <w:jc w:val="both"/>
            <w:tabs>
              <w:tab w:val="right" w:pos="9921" w:leader="dot"/>
            </w:tabs>
            <w:rPr>
              <w:sz w:val="24"/>
              <w:szCs w:val="24"/>
            </w:rPr>
          </w:pPr>
          <w:r/>
          <w:hyperlink w:tooltip="#_Toc11" w:anchor="_Toc11" w:history="1">
            <w:r>
              <w:rPr>
                <w:rStyle w:val="1032"/>
                <w:sz w:val="24"/>
                <w:szCs w:val="24"/>
                <w:lang w:val="en-US"/>
              </w:rPr>
              <w:t xml:space="preserve">Таблица 3. Прочие (дополнительные) требования к продукции</w:t>
            </w:r>
            <w:r>
              <w:fldChar w:fldCharType="begin"/>
            </w:r>
            <w:r>
              <w:instrText xml:space="preserve">PAGEREF _Toc11 \h</w:instrText>
            </w:r>
            <w:r>
              <w:fldChar w:fldCharType="separate"/>
            </w:r>
            <w:r>
              <w:rPr>
                <w:rStyle w:val="1032"/>
                <w:sz w:val="24"/>
                <w:szCs w:val="24"/>
              </w:rPr>
              <w:tab/>
              <w:t xml:space="preserve">5</w:t>
            </w:r>
            <w:r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58"/>
            <w:jc w:val="both"/>
            <w:tabs>
              <w:tab w:val="left" w:pos="567" w:leader="none"/>
              <w:tab w:val="right" w:pos="9921" w:leader="dot"/>
            </w:tabs>
          </w:pPr>
          <w:r/>
          <w:hyperlink w:tooltip="#_Toc12" w:anchor="_Toc12" w:history="1">
            <w:r>
              <w:rPr>
                <w:rStyle w:val="1032"/>
                <w:rFonts w:eastAsia="Calibri" w:cs="Times New Roman"/>
              </w:rPr>
              <w:t xml:space="preserve">3.</w:t>
            </w:r>
            <w:r>
              <w:fldChar w:fldCharType="begin"/>
            </w:r>
            <w:r>
              <w:instrText xml:space="preserve">PAGEREF _Toc12 \h</w:instrText>
            </w:r>
            <w:r>
              <w:fldChar w:fldCharType="separate"/>
            </w:r>
            <w:r>
              <w:rPr>
                <w:rStyle w:val="1032"/>
              </w:rPr>
              <w:tab/>
              <w:t xml:space="preserve">Требования к документации по ценообразованию на этапе закупки.</w:t>
            </w:r>
            <w:r>
              <w:rPr>
                <w:rStyle w:val="1032"/>
              </w:rPr>
              <w:tab/>
              <w:t xml:space="preserve">7</w:t>
            </w:r>
            <w:r>
              <w:fldChar w:fldCharType="end"/>
            </w:r>
          </w:hyperlink>
          <w:r/>
          <w:r/>
        </w:p>
        <w:p>
          <w:pPr>
            <w:pStyle w:val="1058"/>
            <w:jc w:val="both"/>
            <w:tabs>
              <w:tab w:val="right" w:pos="9921" w:leader="dot"/>
            </w:tabs>
          </w:pPr>
          <w:r/>
          <w:hyperlink w:tooltip="#_Toc13" w:anchor="_Toc13" w:history="1">
            <w:r>
              <w:fldChar w:fldCharType="begin"/>
            </w:r>
            <w:r>
              <w:instrText xml:space="preserve">PAGEREF _Toc13 \h</w:instrText>
            </w:r>
            <w:r>
              <w:fldChar w:fldCharType="separate"/>
            </w:r>
            <w:r>
              <w:rPr>
                <w:rStyle w:val="1032"/>
              </w:rPr>
              <w:t xml:space="preserve">4. Приложения: </w:t>
            </w:r>
            <w:r>
              <w:rPr>
                <w:rStyle w:val="1032"/>
              </w:rPr>
              <w:tab/>
              <w:t xml:space="preserve">7</w:t>
            </w:r>
            <w:r>
              <w:fldChar w:fldCharType="end"/>
            </w:r>
          </w:hyperlink>
          <w:r>
            <w:rPr>
              <w:rStyle w:val="1032"/>
            </w:rPr>
            <w:fldChar w:fldCharType="end"/>
          </w:r>
          <w:r/>
        </w:p>
      </w:sdtContent>
    </w:sdt>
    <w:p>
      <w:pPr>
        <w:pStyle w:val="1058"/>
        <w:jc w:val="both"/>
        <w:tabs>
          <w:tab w:val="left" w:pos="567" w:leader="none"/>
          <w:tab w:val="right" w:pos="9921" w:leader="dot"/>
        </w:tabs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1058"/>
        <w:tabs>
          <w:tab w:val="left" w:pos="567" w:leader="none"/>
          <w:tab w:val="right" w:pos="9921" w:leader="dot"/>
        </w:tabs>
        <w:rPr>
          <w:caps/>
        </w:rPr>
      </w:pPr>
      <w:r>
        <w:br w:type="page" w:clear="all"/>
      </w:r>
      <w:r>
        <w:rPr>
          <w:caps/>
        </w:rPr>
      </w:r>
      <w:r>
        <w:rPr>
          <w:caps/>
        </w:rPr>
      </w:r>
    </w:p>
    <w:p>
      <w:pPr>
        <w:pStyle w:val="957"/>
        <w:ind w:hanging="360"/>
        <w:rPr>
          <w:rFonts w:eastAsia="Times New Roman"/>
          <w:bCs/>
          <w:i/>
          <w:caps/>
          <w:sz w:val="24"/>
          <w:szCs w:val="24"/>
        </w:rPr>
      </w:pPr>
      <w:r/>
      <w:bookmarkStart w:id="0" w:name="_Toc1"/>
      <w:r>
        <w:rPr>
          <w:rFonts w:eastAsia="Times New Roman"/>
          <w:sz w:val="24"/>
          <w:szCs w:val="24"/>
        </w:rPr>
        <w:t xml:space="preserve">Общие сведения</w:t>
      </w:r>
      <w:bookmarkEnd w:id="0"/>
      <w:r>
        <w:rPr>
          <w:rFonts w:eastAsia="Times New Roman"/>
          <w:bCs/>
          <w:i/>
          <w:caps/>
          <w:sz w:val="24"/>
          <w:szCs w:val="24"/>
        </w:rPr>
      </w:r>
      <w:r>
        <w:rPr>
          <w:rFonts w:eastAsia="Times New Roman"/>
          <w:bCs/>
          <w:i/>
          <w:caps/>
          <w:sz w:val="24"/>
          <w:szCs w:val="24"/>
        </w:rPr>
      </w:r>
    </w:p>
    <w:p>
      <w:pPr>
        <w:pStyle w:val="958"/>
        <w:numPr>
          <w:ilvl w:val="1"/>
          <w:numId w:val="3"/>
        </w:numPr>
      </w:pPr>
      <w:r/>
      <w:bookmarkStart w:id="1" w:name="_Toc2"/>
      <w:r>
        <w:t xml:space="preserve">Обозначения и сокращения</w:t>
      </w:r>
      <w:bookmarkEnd w:id="1"/>
      <w:r/>
      <w:r/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2199"/>
        <w:gridCol w:w="7584"/>
      </w:tblGrid>
      <w:tr>
        <w:tblPrEx/>
        <w:trPr>
          <w:cantSplit/>
          <w:jc w:val="center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99" w:type="dxa"/>
            <w:textDirection w:val="lrTb"/>
            <w:noWrap w:val="false"/>
          </w:tcPr>
          <w:p>
            <w:pPr>
              <w:spacing w:before="120" w:after="120"/>
              <w:widowControl w:val="off"/>
              <w:tabs>
                <w:tab w:val="left" w:pos="426" w:leader="none"/>
              </w:tabs>
              <w:rPr>
                <w:rStyle w:val="1020"/>
                <w:b w:val="0"/>
                <w:bCs/>
                <w:i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Style w:val="1020"/>
                <w:b w:val="0"/>
                <w:bCs/>
                <w:iCs/>
                <w:color w:val="000000" w:themeColor="text1"/>
                <w:sz w:val="24"/>
                <w:szCs w:val="24"/>
                <w:highlight w:val="white"/>
              </w:rPr>
              <w:t xml:space="preserve">ТУ 38.101821-2013</w:t>
            </w:r>
            <w:r>
              <w:rPr>
                <w:rStyle w:val="1020"/>
                <w:b w:val="0"/>
                <w:bCs/>
                <w:i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Style w:val="1020"/>
                <w:b w:val="0"/>
                <w:bCs/>
                <w:iCs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83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20"/>
                <w:b w:val="0"/>
                <w:bCs/>
                <w:i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Style w:val="1020"/>
                <w:b w:val="0"/>
                <w:bCs/>
                <w:iCs/>
                <w:color w:val="000000" w:themeColor="text1"/>
                <w:sz w:val="24"/>
                <w:szCs w:val="24"/>
                <w:highlight w:val="white"/>
              </w:rPr>
              <w:t xml:space="preserve">Масло турбинное Тп-22С марка 1. Технические условия</w:t>
            </w:r>
            <w:r>
              <w:rPr>
                <w:rStyle w:val="1020"/>
                <w:b w:val="0"/>
                <w:bCs/>
                <w:i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Style w:val="1020"/>
                <w:b w:val="0"/>
                <w:bCs/>
                <w:iCs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99" w:type="dxa"/>
            <w:textDirection w:val="lrTb"/>
            <w:noWrap w:val="false"/>
          </w:tcPr>
          <w:p>
            <w:pPr>
              <w:spacing w:before="120" w:after="120"/>
              <w:widowControl w:val="off"/>
              <w:tabs>
                <w:tab w:val="left" w:pos="426" w:leader="none"/>
              </w:tabs>
              <w:rPr>
                <w:rStyle w:val="1020"/>
                <w:b w:val="0"/>
                <w:bCs/>
                <w:i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Style w:val="1020"/>
                <w:b w:val="0"/>
                <w:bCs/>
                <w:iCs/>
                <w:color w:val="000000" w:themeColor="text1"/>
                <w:sz w:val="24"/>
                <w:szCs w:val="24"/>
                <w:highlight w:val="white"/>
                <w:lang w:val="en-US"/>
              </w:rPr>
              <w:t xml:space="preserve">ТР ТС</w:t>
            </w:r>
            <w:r>
              <w:rPr>
                <w:rStyle w:val="1020"/>
                <w:b w:val="0"/>
                <w:bCs/>
                <w:i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Style w:val="1020"/>
                <w:b w:val="0"/>
                <w:bCs/>
                <w:iCs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83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20"/>
                <w:b w:val="0"/>
                <w:bCs/>
                <w:i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Style w:val="1020"/>
                <w:b w:val="0"/>
                <w:bCs/>
                <w:iCs/>
                <w:color w:val="000000" w:themeColor="text1"/>
                <w:sz w:val="24"/>
                <w:szCs w:val="24"/>
                <w:highlight w:val="white"/>
              </w:rPr>
              <w:t xml:space="preserve">Технический регламент Таможенного союза</w:t>
            </w:r>
            <w:r>
              <w:rPr>
                <w:rStyle w:val="1020"/>
                <w:b w:val="0"/>
                <w:bCs/>
                <w:i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Style w:val="1020"/>
                <w:b w:val="0"/>
                <w:bCs/>
                <w:iCs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99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ПП РФ № 719</w:t>
            </w:r>
            <w:r>
              <w:rPr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83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Постановление Правительства Российской Федерации от 17 июля 2015 г. N 719 "О подтверждении производства российской промышленной продукции" </w:t>
            </w:r>
            <w:r>
              <w:rPr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bCs/>
                <w:iCs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99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ПП РФ № 1875</w:t>
            </w:r>
            <w:r>
              <w:rPr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83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Cs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Постановление Правительства Российск</w:t>
            </w:r>
            <w:r>
              <w:rPr>
                <w:rFonts w:cs="Times New Roman"/>
                <w:bCs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      </w:r>
            <w:r>
              <w:rPr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bCs/>
                <w:iCs/>
                <w:color w:val="000000" w:themeColor="text1"/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8"/>
        <w:numPr>
          <w:ilvl w:val="1"/>
          <w:numId w:val="3"/>
        </w:numPr>
      </w:pPr>
      <w:r/>
      <w:bookmarkStart w:id="2" w:name="_Toc3"/>
      <w:r>
        <w:rPr>
          <w:rFonts w:eastAsia="Times New Roman"/>
        </w:rPr>
        <w:t xml:space="preserve">Наименование закупаемой продукции</w:t>
      </w:r>
      <w:bookmarkEnd w:id="2"/>
      <w:r/>
      <w:r/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ОКПД2 19.20.2 Поставка турбинного масла для СП «Хабаровская ТЭЦ-3» АО ДГК,  г. Хабаровск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keepLines/>
        <w:keepNext/>
      </w:pPr>
      <w:r/>
      <w:r/>
    </w:p>
    <w:p>
      <w:pPr>
        <w:pStyle w:val="958"/>
        <w:numPr>
          <w:ilvl w:val="1"/>
          <w:numId w:val="3"/>
        </w:numPr>
      </w:pPr>
      <w:r/>
      <w:bookmarkStart w:id="3" w:name="_Toc4"/>
      <w:r>
        <w:rPr>
          <w:rFonts w:eastAsia="Times New Roman"/>
        </w:rPr>
        <w:t xml:space="preserve">Цель использования закупаемой продукции </w:t>
      </w:r>
      <w:bookmarkEnd w:id="3"/>
      <w:r/>
      <w:r/>
    </w:p>
    <w:p>
      <w:pPr>
        <w:rPr>
          <w:i/>
          <w:sz w:val="22"/>
          <w:szCs w:val="22"/>
        </w:rPr>
      </w:pPr>
      <w:r>
        <w:rPr>
          <w:bCs/>
          <w:i/>
          <w:sz w:val="22"/>
          <w:szCs w:val="22"/>
        </w:rPr>
        <w:t xml:space="preserve">Бесперебойная работа котлотурбинного оборудования СП «Хабаровская ТЭЦ-3» АО «ДГК»</w:t>
      </w:r>
      <w:r>
        <w:rPr>
          <w:bCs/>
          <w:i/>
          <w:sz w:val="22"/>
          <w:szCs w:val="22"/>
        </w:rPr>
        <w:br w:type="textWrapping" w:clear="all"/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7"/>
        <w:ind w:left="3261" w:hanging="567"/>
        <w:rPr>
          <w:caps/>
          <w:sz w:val="24"/>
          <w:szCs w:val="24"/>
        </w:rPr>
      </w:pPr>
      <w:r/>
      <w:bookmarkStart w:id="4" w:name="_Toc5"/>
      <w:r>
        <w:rPr>
          <w:rFonts w:eastAsia="Times New Roman"/>
          <w:sz w:val="24"/>
          <w:szCs w:val="24"/>
        </w:rPr>
        <w:t xml:space="preserve">Требования к продукции</w:t>
      </w:r>
      <w:bookmarkEnd w:id="4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pStyle w:val="958"/>
        <w:numPr>
          <w:ilvl w:val="1"/>
          <w:numId w:val="3"/>
        </w:numPr>
      </w:pPr>
      <w:r/>
      <w:bookmarkStart w:id="5" w:name="_Toc6"/>
      <w:r>
        <w:rPr>
          <w:rFonts w:eastAsia="Times New Roman"/>
        </w:rPr>
        <w:t xml:space="preserve">Требования к номенклатуре, качеству, объемам, условиям и адресам поставки</w:t>
      </w:r>
      <w:bookmarkEnd w:id="5"/>
      <w:r/>
      <w:r/>
    </w:p>
    <w:p>
      <w:pPr>
        <w:ind w:firstLine="709"/>
        <w:jc w:val="both"/>
        <w:rPr>
          <w:bCs/>
          <w:i/>
          <w:sz w:val="24"/>
          <w:szCs w:val="24"/>
        </w:rPr>
      </w:pPr>
      <w:r>
        <w:rPr>
          <w:sz w:val="24"/>
          <w:szCs w:val="24"/>
        </w:rPr>
        <w:t xml:space="preserve">Номенклатура, функциональные характеристики (потребительские свойства), количественные, качественные характеристики продукции, место поставки</w:t>
      </w:r>
      <w:r>
        <w:rPr>
          <w:bCs/>
          <w:sz w:val="24"/>
          <w:szCs w:val="24"/>
        </w:rPr>
        <w:t xml:space="preserve"> и объем закупаемой продукции указаны в Приложении №1 к настоящим Техническим требованиям (Таблица1.1 и 1.2 в формате «</w:t>
      </w:r>
      <w:r>
        <w:rPr>
          <w:bCs/>
          <w:sz w:val="24"/>
          <w:szCs w:val="24"/>
          <w:lang w:val="en-US"/>
        </w:rPr>
        <w:t xml:space="preserve">Excel</w:t>
      </w:r>
      <w:r>
        <w:rPr>
          <w:bCs/>
          <w:sz w:val="24"/>
          <w:szCs w:val="24"/>
        </w:rPr>
        <w:t xml:space="preserve">»). </w:t>
      </w:r>
      <w:r>
        <w:rPr>
          <w:i/>
          <w:sz w:val="24"/>
          <w:szCs w:val="24"/>
        </w:rPr>
        <w:t xml:space="preserve">Заявка Участника в обязательном порядке должна содержать подробное описание технических характеристик предлагаемого товара в объеме, не менее, указанному в </w:t>
      </w:r>
      <w:r>
        <w:rPr>
          <w:bCs/>
          <w:sz w:val="24"/>
          <w:szCs w:val="24"/>
        </w:rPr>
        <w:t xml:space="preserve">Приложении №1 к настоящим Техническим требованиям (Таблица1.1)</w:t>
      </w:r>
      <w:r>
        <w:rPr>
          <w:i/>
          <w:sz w:val="24"/>
          <w:szCs w:val="24"/>
        </w:rPr>
        <w:t xml:space="preserve">.</w:t>
      </w: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8"/>
        <w:numPr>
          <w:ilvl w:val="1"/>
          <w:numId w:val="3"/>
        </w:numPr>
      </w:pPr>
      <w:r/>
      <w:bookmarkStart w:id="6" w:name="_Toc7"/>
      <w:r>
        <w:rPr>
          <w:rFonts w:eastAsia="Times New Roman"/>
          <w:lang w:val="en-US"/>
        </w:rPr>
        <w:t xml:space="preserve">Т</w:t>
      </w:r>
      <w:r>
        <w:rPr>
          <w:rFonts w:eastAsia="Times New Roman"/>
        </w:rPr>
        <w:t xml:space="preserve">ребовани</w:t>
      </w:r>
      <w:r>
        <w:rPr>
          <w:rFonts w:eastAsia="Times New Roman"/>
          <w:lang w:val="en-US"/>
        </w:rPr>
        <w:t xml:space="preserve">я</w:t>
      </w:r>
      <w:r>
        <w:rPr>
          <w:rFonts w:eastAsia="Times New Roman"/>
        </w:rPr>
        <w:t xml:space="preserve"> к эквивалентной продукции</w:t>
      </w:r>
      <w:bookmarkEnd w:id="6"/>
      <w:r/>
      <w:r/>
    </w:p>
    <w:p>
      <w:pPr>
        <w:jc w:val="both"/>
        <w:rPr>
          <w:b/>
          <w:bCs/>
          <w:i/>
          <w:sz w:val="24"/>
          <w:szCs w:val="24"/>
        </w:rPr>
      </w:pPr>
      <w:r>
        <w:rPr>
          <w:b/>
          <w:bCs/>
          <w:i/>
          <w:sz w:val="24"/>
          <w:szCs w:val="24"/>
        </w:rPr>
      </w:r>
      <w:r>
        <w:rPr>
          <w:b/>
          <w:bCs/>
          <w:i/>
          <w:sz w:val="24"/>
          <w:szCs w:val="24"/>
        </w:rPr>
      </w:r>
      <w:r>
        <w:rPr>
          <w:b/>
          <w:bCs/>
          <w:i/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Для продукции, указанной в Приложении № 1 к настоящим Техническим требованиям </w:t>
      </w:r>
      <w:r>
        <w:rPr>
          <w:sz w:val="24"/>
          <w:szCs w:val="24"/>
        </w:rPr>
        <w:t xml:space="preserve">(Таблица1.1 в формате Excel), Участник должен принять во внимание, что ссылка на ТУ, марку (тип) продукции, носит описательный, а не обязательный характер.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случае, если Участником предлагаются эквиваленты требуемой Заказчику продукции или ее составных частей, в составе своего предложения, он должен, в обязательном порядке предо</w:t>
      </w:r>
      <w:r>
        <w:rPr>
          <w:sz w:val="24"/>
          <w:szCs w:val="24"/>
        </w:rPr>
        <w:t xml:space="preserve">ставить подробное техническое описание предлагаемого к поставке эквивалента, в объеме, не менее установленных в Таблице №1 настоящих технических требований «Дополнительные требования к составу заявки в случае предложения к поставке продукции-эквивалента»).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Эквивалентная продукция</w:t>
      </w:r>
      <w:r>
        <w:rPr>
          <w:sz w:val="24"/>
          <w:szCs w:val="24"/>
        </w:rPr>
        <w:t xml:space="preserve"> -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8"/>
        <w:ind w:left="0" w:firstLine="0"/>
        <w:tabs>
          <w:tab w:val="clear" w:pos="0" w:leader="none"/>
        </w:tabs>
        <w:rPr>
          <w:rFonts w:eastAsia="Times New Roman"/>
        </w:rPr>
      </w:pPr>
      <w:r/>
      <w:bookmarkStart w:id="7" w:name="_Toc8"/>
      <w:r>
        <w:rPr>
          <w:rFonts w:eastAsia="Times New Roman"/>
        </w:rPr>
        <w:t xml:space="preserve">Таблица № </w:t>
      </w:r>
      <w:bookmarkEnd w:id="7"/>
      <w:r>
        <w:rPr>
          <w:rFonts w:eastAsia="Times New Roman"/>
        </w:rPr>
        <w:t xml:space="preserve">1 </w:t>
      </w:r>
      <w:r>
        <w:t xml:space="preserve">Дополнительные требования к составу заявки в случае предложения к поставке продукции-эквивалента</w:t>
      </w:r>
      <w:r>
        <w:rPr>
          <w:rFonts w:eastAsia="Times New Roman"/>
        </w:rPr>
      </w:r>
      <w:r>
        <w:rPr>
          <w:rFonts w:eastAsia="Times New Roman"/>
        </w:rPr>
      </w:r>
    </w:p>
    <w:tbl>
      <w:tblPr>
        <w:tblW w:w="1017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268"/>
        <w:gridCol w:w="2552"/>
        <w:gridCol w:w="4677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677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677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Показатели смешивания и предлагаемого эквивалента </w:t>
            </w:r>
            <w:r>
              <w:rPr>
                <w:i/>
                <w:sz w:val="24"/>
                <w:szCs w:val="24"/>
              </w:rPr>
              <w:tab/>
            </w: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4"/>
                <w:szCs w:val="24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Продукция должна соответствовать действующим требованиям ТУ 38.101821-2013, техническим регламентам, применяемым к поставляемой продукции</w:t>
            </w: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4"/>
                <w:szCs w:val="24"/>
              </w:rPr>
            </w:r>
          </w:p>
        </w:tc>
        <w:tc>
          <w:tcPr>
            <w:tcW w:w="4677" w:type="dxa"/>
            <w:textDirection w:val="lrTb"/>
            <w:noWrap w:val="false"/>
          </w:tcPr>
          <w:p>
            <w:pPr>
              <w:spacing w:after="0" w:afterAutospacing="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 случае предложения к поставке Товара- эквивалента, участник обязан представить следующие документы: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spacing w:after="0" w:afterAutospacing="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1.) отчет о проведенных испытаниях на совмещение предлагаемого эквивалента с маслом ТП-22 с марка 1, произведённого в соответствии  с ТУ 38.101821-2013, с указанием основных параметров эксплуатационных характеристик.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spacing w:after="0" w:afterAutospacing="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При смешении вышеуказанных масел, определяемые параметры должны соответствовать заявленным значениям, указанных в технических требованиях Заказчика. 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spacing w:after="0" w:afterAutospacing="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Основные параметры на совместимость по маслу ТП 22с марка 1 : 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spacing w:after="0" w:afterAutospacing="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Стабильность против окисления;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spacing w:after="0" w:afterAutospacing="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массовая доля осадка;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spacing w:after="0" w:afterAutospacing="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кислотное число;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spacing w:after="0" w:afterAutospacing="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летучие кислоты;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spacing w:after="0" w:afterAutospacing="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время деэмульсации;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spacing w:after="0" w:afterAutospacing="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коррозия на стальных стержнях. 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spacing w:after="0" w:afterAutospacing="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2.) копию аттестата аккредитации (лаборатории, института, испытательного центра и т.п), выданной Федеральной службой по аккредитации (Росаккредитация) и области аккредитации (включающую Объект аккредитации КОД ОКПД2 119.20.29.160 Масла турбинные).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pStyle w:val="957"/>
        <w:numPr>
          <w:ilvl w:val="0"/>
          <w:numId w:val="0"/>
        </w:numPr>
        <w:spacing w:before="0" w:after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off"/>
        <w:tabs>
          <w:tab w:val="left" w:pos="426" w:leader="none"/>
        </w:tabs>
        <w:rPr>
          <w:rStyle w:val="1020"/>
          <w:b w:val="0"/>
          <w:bCs/>
          <w:color w:val="0000ff"/>
          <w:sz w:val="24"/>
          <w:szCs w:val="24"/>
        </w:rPr>
      </w:pPr>
      <w:r>
        <w:rPr>
          <w:b w:val="0"/>
          <w:bCs/>
          <w:color w:val="0000ff"/>
          <w:sz w:val="24"/>
          <w:szCs w:val="24"/>
        </w:rPr>
      </w:r>
      <w:r>
        <w:rPr>
          <w:rStyle w:val="1020"/>
          <w:b w:val="0"/>
          <w:bCs/>
          <w:color w:val="0000ff"/>
          <w:sz w:val="24"/>
          <w:szCs w:val="24"/>
        </w:rPr>
      </w:r>
      <w:r>
        <w:rPr>
          <w:rStyle w:val="1020"/>
          <w:b w:val="0"/>
          <w:bCs/>
          <w:color w:val="0000ff"/>
          <w:sz w:val="24"/>
          <w:szCs w:val="24"/>
        </w:rPr>
      </w:r>
    </w:p>
    <w:p>
      <w:pPr>
        <w:pStyle w:val="958"/>
        <w:numPr>
          <w:ilvl w:val="1"/>
          <w:numId w:val="3"/>
        </w:numPr>
        <w:rPr>
          <w:rFonts w:eastAsia="Times New Roman"/>
        </w:rPr>
      </w:pPr>
      <w:r/>
      <w:bookmarkStart w:id="8" w:name="_Toc9"/>
      <w:r>
        <w:rPr>
          <w:rFonts w:eastAsia="Times New Roman"/>
        </w:rPr>
        <w:t xml:space="preserve">Требования к срокам поставки продукции и дополнительные требования к продукции</w:t>
      </w:r>
      <w:bookmarkEnd w:id="8"/>
      <w:r>
        <w:rPr>
          <w:rFonts w:eastAsia="Times New Roman"/>
        </w:rPr>
      </w:r>
      <w:r>
        <w:rPr>
          <w:rFonts w:eastAsia="Times New Roman"/>
        </w:rPr>
      </w:r>
    </w:p>
    <w:p>
      <w:pPr>
        <w:pStyle w:val="958"/>
        <w:ind w:left="0" w:firstLine="0"/>
        <w:tabs>
          <w:tab w:val="clear" w:pos="0" w:leader="none"/>
        </w:tabs>
      </w:pPr>
      <w:r/>
      <w:bookmarkStart w:id="9" w:name="_Toc10"/>
      <w:r>
        <w:rPr>
          <w:rFonts w:eastAsia="Times New Roman"/>
        </w:rPr>
        <w:t xml:space="preserve">Таблица 2 </w:t>
      </w:r>
      <w:bookmarkStart w:id="10" w:name="_Hlk50465284"/>
      <w:r>
        <w:rPr>
          <w:rFonts w:eastAsia="Times New Roman"/>
        </w:rPr>
        <w:t xml:space="preserve">Требования по срокам </w:t>
      </w:r>
      <w:bookmarkEnd w:id="10"/>
      <w:r>
        <w:rPr>
          <w:rFonts w:eastAsia="Times New Roman"/>
        </w:rPr>
        <w:t xml:space="preserve">поставки продукции </w:t>
      </w:r>
      <w:bookmarkEnd w:id="9"/>
      <w:r/>
      <w:r/>
    </w:p>
    <w:tbl>
      <w:tblPr>
        <w:tblW w:w="99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3203"/>
        <w:gridCol w:w="2789"/>
        <w:gridCol w:w="3250"/>
      </w:tblGrid>
      <w:tr>
        <w:tblPrEx/>
        <w:trPr/>
        <w:tc>
          <w:tcPr>
            <w:tcW w:w="66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426" w:leader="none"/>
              </w:tabs>
              <w:rPr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  <w:tc>
          <w:tcPr>
            <w:tcW w:w="3203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426" w:leader="none"/>
              </w:tabs>
              <w:rPr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продукции продукции</w:t>
            </w:r>
            <w:r>
              <w:rPr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  <w:tc>
          <w:tcPr>
            <w:tcW w:w="2789" w:type="dxa"/>
            <w:textDirection w:val="lrTb"/>
            <w:noWrap w:val="false"/>
          </w:tcPr>
          <w:p>
            <w:pPr>
              <w:widowControl w:val="off"/>
              <w:tabs>
                <w:tab w:val="left" w:pos="426" w:leader="none"/>
              </w:tabs>
              <w:rPr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к началу срока поставки продукции</w:t>
            </w:r>
            <w:r>
              <w:rPr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  <w:tc>
          <w:tcPr>
            <w:tcW w:w="3250" w:type="dxa"/>
            <w:textDirection w:val="lrTb"/>
            <w:noWrap w:val="false"/>
          </w:tcPr>
          <w:p>
            <w:pPr>
              <w:widowControl w:val="off"/>
              <w:tabs>
                <w:tab w:val="left" w:pos="426" w:leader="none"/>
              </w:tabs>
              <w:rPr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к окончанию срока поставки продукции</w:t>
            </w:r>
            <w:r>
              <w:rPr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tcW w:w="669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26" w:leader="none"/>
              </w:tabs>
              <w:rPr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  <w:tc>
          <w:tcPr>
            <w:tcW w:w="3203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26" w:leader="none"/>
              </w:tabs>
              <w:rPr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  <w:tc>
          <w:tcPr>
            <w:tcW w:w="2789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26" w:leader="none"/>
              </w:tabs>
              <w:rPr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  <w:tc>
          <w:tcPr>
            <w:tcW w:w="3250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26" w:leader="none"/>
              </w:tabs>
              <w:rPr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>
          <w:trHeight w:val="1012"/>
        </w:trPr>
        <w:tc>
          <w:tcPr>
            <w:tcW w:w="66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26" w:leader="none"/>
              </w:tabs>
              <w:rPr>
                <w:bCs/>
                <w:iCs/>
                <w:color w:val="0000ff"/>
                <w:sz w:val="24"/>
                <w:szCs w:val="24"/>
                <w:shd w:val="clear" w:color="auto" w:fill="ffff99"/>
              </w:rPr>
            </w:pPr>
            <w:r>
              <w:rPr>
                <w:bCs/>
                <w:iCs/>
                <w:sz w:val="24"/>
                <w:szCs w:val="24"/>
              </w:rPr>
              <w:t xml:space="preserve">1</w:t>
            </w:r>
            <w:r>
              <w:rPr>
                <w:bCs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bCs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  <w:tc>
          <w:tcPr>
            <w:shd w:val="clear" w:color="auto" w:fill="auto"/>
            <w:tcW w:w="3203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426" w:leader="none"/>
              </w:tabs>
              <w:rPr>
                <w:bCs/>
                <w:i/>
                <w:iCs/>
                <w:color w:val="000000" w:themeColor="text1"/>
                <w:sz w:val="24"/>
                <w:szCs w:val="24"/>
                <w:highlight w:val="white"/>
                <w:shd w:val="clear" w:color="auto" w:fill="ffff99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  <w:t xml:space="preserve">ОКПД2 19.20.2 Поставка турбинного масла для СП «Хабаровская ТЭЦ-3» АО ДГК,  г. Хабаровск</w:t>
            </w:r>
            <w:r>
              <w:rPr>
                <w:bCs/>
                <w:i/>
                <w:iCs/>
                <w:color w:val="000000" w:themeColor="text1"/>
                <w:sz w:val="24"/>
                <w:szCs w:val="24"/>
                <w:highlight w:val="white"/>
                <w:shd w:val="clear" w:color="auto" w:fill="ffff99"/>
              </w:rPr>
            </w:r>
            <w:r>
              <w:rPr>
                <w:bCs/>
                <w:i/>
                <w:iCs/>
                <w:color w:val="000000" w:themeColor="text1"/>
                <w:sz w:val="24"/>
                <w:szCs w:val="24"/>
                <w:highlight w:val="white"/>
                <w:shd w:val="clear" w:color="auto" w:fill="ffff99"/>
              </w:rPr>
            </w:r>
          </w:p>
        </w:tc>
        <w:tc>
          <w:tcPr>
            <w:tcW w:w="2789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426" w:leader="none"/>
              </w:tabs>
              <w:rPr>
                <w:bCs/>
                <w:i/>
                <w:iCs/>
                <w:color w:val="000000" w:themeColor="text1"/>
                <w:sz w:val="24"/>
                <w:szCs w:val="24"/>
                <w:highlight w:val="white"/>
                <w:shd w:val="clear" w:color="auto" w:fill="ffff99"/>
              </w:rPr>
            </w:pPr>
            <w:r>
              <w:rPr>
                <w:bCs/>
                <w:i/>
                <w:iCs/>
                <w:color w:val="000000" w:themeColor="text1"/>
                <w:sz w:val="24"/>
                <w:szCs w:val="24"/>
                <w:highlight w:val="white"/>
                <w:shd w:val="clear" w:color="auto" w:fill="ffff99"/>
              </w:rPr>
              <w:t xml:space="preserve">С даты заключения</w:t>
            </w:r>
            <w:r>
              <w:rPr>
                <w:bCs/>
                <w:i/>
                <w:iCs/>
                <w:color w:val="000000" w:themeColor="text1"/>
                <w:sz w:val="24"/>
                <w:szCs w:val="24"/>
                <w:highlight w:val="white"/>
                <w:shd w:val="clear" w:color="ffffff" w:themeColor="background1" w:fill="ffffff" w:themeFill="background1"/>
              </w:rPr>
              <w:t xml:space="preserve"> </w:t>
            </w:r>
            <w:r>
              <w:rPr>
                <w:bCs/>
                <w:i/>
                <w:iCs/>
                <w:color w:val="000000" w:themeColor="text1"/>
                <w:sz w:val="24"/>
                <w:szCs w:val="24"/>
                <w:highlight w:val="white"/>
                <w:shd w:val="clear" w:color="auto" w:fill="ffff99"/>
              </w:rPr>
              <w:t xml:space="preserve">Договора</w:t>
            </w:r>
            <w:r>
              <w:rPr>
                <w:bCs/>
                <w:i/>
                <w:iCs/>
                <w:color w:val="000000" w:themeColor="text1"/>
                <w:sz w:val="24"/>
                <w:szCs w:val="24"/>
                <w:highlight w:val="white"/>
                <w:shd w:val="clear" w:color="auto" w:fill="ffff99"/>
              </w:rPr>
            </w:r>
            <w:r>
              <w:rPr>
                <w:bCs/>
                <w:i/>
                <w:iCs/>
                <w:color w:val="000000" w:themeColor="text1"/>
                <w:sz w:val="24"/>
                <w:szCs w:val="24"/>
                <w:highlight w:val="white"/>
                <w:shd w:val="clear" w:color="auto" w:fill="ffff99"/>
              </w:rPr>
            </w:r>
          </w:p>
        </w:tc>
        <w:tc>
          <w:tcPr>
            <w:shd w:val="clear" w:color="auto" w:fill="auto"/>
            <w:tcW w:w="3250" w:type="dxa"/>
            <w:vAlign w:val="center"/>
            <w:textDirection w:val="lrTb"/>
            <w:noWrap w:val="false"/>
          </w:tcPr>
          <w:p>
            <w:pPr>
              <w:rPr>
                <w:bCs/>
                <w:i/>
              </w:rPr>
            </w:pPr>
            <w:r>
              <w:rPr>
                <w:i/>
                <w:iCs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не позднее 60 (шестидесяти) календарных дней с даты заключения договора.</w:t>
            </w:r>
            <w:r>
              <w:rPr>
                <w:bCs/>
                <w:i/>
              </w:rPr>
            </w:r>
            <w:r>
              <w:rPr>
                <w:bCs/>
                <w:i/>
              </w:rPr>
            </w:r>
          </w:p>
        </w:tc>
      </w:tr>
    </w:tbl>
    <w:p>
      <w:p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766" w:right="851" w:bottom="992" w:left="1134" w:header="709" w:footer="0" w:gutter="0"/>
          <w:cols w:num="1" w:sep="0" w:space="720" w:equalWidth="1"/>
          <w:docGrid w:linePitch="360"/>
          <w:titlePg/>
        </w:sectPr>
      </w:pPr>
      <w:r/>
      <w:r/>
    </w:p>
    <w:p>
      <w:pPr>
        <w:pStyle w:val="958"/>
        <w:ind w:left="0" w:firstLine="0"/>
        <w:tabs>
          <w:tab w:val="clear" w:pos="0" w:leader="none"/>
        </w:tabs>
        <w:rPr>
          <w:rFonts w:eastAsia="Times New Roman"/>
        </w:rPr>
      </w:pPr>
      <w:r/>
      <w:bookmarkStart w:id="12" w:name="_Toc11"/>
      <w:r>
        <w:rPr>
          <w:rFonts w:eastAsia="Times New Roman"/>
        </w:rPr>
        <w:t xml:space="preserve">Таблица 3. Прочие (дополнительные) требования к продукции</w:t>
      </w:r>
      <w:bookmarkEnd w:id="12"/>
      <w:r>
        <w:rPr>
          <w:rFonts w:eastAsia="Times New Roman"/>
        </w:rPr>
      </w:r>
      <w:r>
        <w:rPr>
          <w:rFonts w:eastAsia="Times New Roman"/>
        </w:rPr>
      </w:r>
    </w:p>
    <w:p>
      <w:pPr>
        <w:jc w:val="both"/>
        <w:rPr>
          <w:color w:val="ff0000"/>
          <w:sz w:val="16"/>
          <w:szCs w:val="16"/>
        </w:rPr>
      </w:pPr>
      <w:r>
        <w:rPr>
          <w:color w:val="ff0000"/>
          <w:sz w:val="16"/>
          <w:szCs w:val="16"/>
        </w:rPr>
      </w:r>
      <w:r>
        <w:rPr>
          <w:color w:val="ff0000"/>
          <w:sz w:val="16"/>
          <w:szCs w:val="16"/>
        </w:rPr>
      </w:r>
      <w:r>
        <w:rPr>
          <w:color w:val="ff0000"/>
          <w:sz w:val="16"/>
          <w:szCs w:val="16"/>
        </w:rPr>
      </w:r>
    </w:p>
    <w:tbl>
      <w:tblPr>
        <w:tblW w:w="1556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3797"/>
        <w:gridCol w:w="4392"/>
        <w:gridCol w:w="2269"/>
        <w:gridCol w:w="2409"/>
        <w:gridCol w:w="1842"/>
      </w:tblGrid>
      <w:tr>
        <w:tblPrEx/>
        <w:trPr/>
        <w:tc>
          <w:tcPr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№ п/п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379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параметра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3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Требование заказчика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W w:w="46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8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851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797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392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6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79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439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26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6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375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 xml:space="preserve">1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gridSpan w:val="5"/>
            <w:tcW w:w="14709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 xml:space="preserve">Требования к доставке,  маркировке, упаковке, транспортировке, перемещению, условиям хранения, приемке и испытаниям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034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797" w:type="dxa"/>
            <w:vAlign w:val="center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Доставка, маркировка, упаковка, транспортировка, перемещение, условия хранения, приемка и испытания.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392" w:type="dxa"/>
            <w:vAlign w:val="center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 Соответствие требованиям, предусмотренным разделом 3</w:t>
            </w:r>
            <w:r>
              <w:rPr>
                <w:color w:val="ff0000"/>
                <w:sz w:val="20"/>
                <w:szCs w:val="20"/>
                <w:highlight w:val="white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  <w:t xml:space="preserve">проекта Договора Приложение к ДОЗ)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269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Согласие с требованием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797" w:type="dxa"/>
            <w:vAlign w:val="center"/>
            <w:textDirection w:val="lrTb"/>
            <w:noWrap w:val="false"/>
          </w:tcPr>
          <w:p>
            <w:pPr>
              <w:jc w:val="both"/>
              <w:spacing w:after="120"/>
              <w:widowControl w:val="off"/>
              <w:tabs>
                <w:tab w:val="left" w:pos="426" w:leader="none"/>
              </w:tabs>
              <w:rPr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Срок гарантии</w:t>
            </w:r>
            <w:r>
              <w:rPr>
                <w:i/>
                <w:color w:val="808080" w:themeColor="background1" w:themeShade="80"/>
                <w:sz w:val="20"/>
                <w:szCs w:val="20"/>
              </w:rPr>
            </w:r>
            <w:r>
              <w:rPr>
                <w:i/>
                <w:color w:val="808080" w:themeColor="background1" w:themeShade="80"/>
                <w:sz w:val="20"/>
                <w:szCs w:val="20"/>
              </w:rPr>
            </w:r>
          </w:p>
        </w:tc>
        <w:tc>
          <w:tcPr>
            <w:tcW w:w="4392" w:type="dxa"/>
            <w:vAlign w:val="center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  Соответствие требованиям, предусмотренным разделом 5</w:t>
            </w:r>
            <w:r>
              <w:rPr>
                <w:color w:val="ff0000"/>
                <w:sz w:val="20"/>
                <w:szCs w:val="20"/>
                <w:highlight w:val="white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  <w:t xml:space="preserve">проекта Договора Приложение к ДОЗ)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269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Согласие с требованием</w:t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797" w:type="dxa"/>
            <w:vAlign w:val="center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Документы, передаваемые вместе с продукцией</w:t>
            </w:r>
            <w:r>
              <w:rPr>
                <w:i/>
                <w:color w:val="808080" w:themeColor="background1" w:themeShade="80"/>
                <w:sz w:val="20"/>
                <w:szCs w:val="20"/>
              </w:rPr>
            </w:r>
            <w:r>
              <w:rPr>
                <w:i/>
                <w:color w:val="808080" w:themeColor="background1" w:themeShade="80"/>
                <w:sz w:val="20"/>
                <w:szCs w:val="20"/>
              </w:rPr>
            </w:r>
          </w:p>
        </w:tc>
        <w:tc>
          <w:tcPr>
            <w:tcW w:w="4392" w:type="dxa"/>
            <w:vAlign w:val="center"/>
            <w:textDirection w:val="lrTb"/>
            <w:noWrap w:val="false"/>
          </w:tcPr>
          <w:p>
            <w:pPr>
              <w:pStyle w:val="1105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 Соответствие требованиям, предусмотренным разделом 3 проекта Договора Приложение к ДОЗ)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269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Согласие с требованием</w:t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604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5"/>
            <w:tcW w:w="14709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Национальный режим(Постановления Правительства от 23.12.2024 № 1875)</w:t>
            </w:r>
            <w:r>
              <w:rPr>
                <w:rFonts w:cs="Times New Roman"/>
                <w:b/>
                <w:bCs/>
                <w:sz w:val="22"/>
                <w:szCs w:val="22"/>
              </w:rPr>
            </w:r>
            <w:r>
              <w:rPr>
                <w:rFonts w:cs="Times New Roman"/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2.1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797" w:type="dxa"/>
            <w:vAlign w:val="center"/>
            <w:textDirection w:val="lrTb"/>
            <w:noWrap w:val="false"/>
          </w:tcPr>
          <w:p>
            <w:pPr>
              <w:pStyle w:val="1106"/>
              <w:widowControl w:val="off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Установлен режим преимущества российской продукции (когда национальный режим не предоставляется)</w:t>
            </w: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1107"/>
              <w:numPr>
                <w:ilvl w:val="2"/>
                <w:numId w:val="0"/>
              </w:numPr>
              <w:spacing w:before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а) при рассмотрении, оценке, сопоставлении заявок на участие в закупке, окончательных предложений осуществляется снижение на 15 % (пятнадцать процентов) ценового предложения, поданного участником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закупки, предлагающим к поставке товар только российского происхождения, либо увеличение на 15 % (пятнадцать процентов) ценового предложения этого участника закупки в случае подачи им предложения о размере платы, подлежащей внесению за заключение договора,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1107"/>
              <w:numPr>
                <w:ilvl w:val="2"/>
                <w:numId w:val="0"/>
              </w:numPr>
              <w:spacing w:before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б) в случае заключения договора с участником закупки, указанным в </w:t>
            </w:r>
            <w:hyperlink w:tooltip="#Par17" w:anchor="Par17" w:history="1">
              <w:r>
                <w:rPr>
                  <w:rFonts w:eastAsia="Times New Roman"/>
                  <w:sz w:val="20"/>
                  <w:szCs w:val="20"/>
                  <w:lang w:eastAsia="ru-RU"/>
                </w:rPr>
                <w:t xml:space="preserve">подпункте «а</w:t>
              </w:r>
            </w:hyperlink>
            <w:r>
              <w:rPr>
                <w:rFonts w:eastAsia="Times New Roman"/>
                <w:sz w:val="20"/>
                <w:szCs w:val="20"/>
                <w:lang w:eastAsia="ru-RU"/>
              </w:rPr>
      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      </w:r>
            <w:hyperlink w:tooltip="#Par17" w:anchor="Par17" w:history="1">
              <w:r>
                <w:rPr>
                  <w:rFonts w:eastAsia="Times New Roman"/>
                  <w:sz w:val="20"/>
                  <w:szCs w:val="20"/>
                  <w:lang w:eastAsia="ru-RU"/>
                </w:rPr>
                <w:t xml:space="preserve">подпунктом «а»</w:t>
              </w:r>
            </w:hyperlink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настоящего пункта,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1108"/>
              <w:spacing w:before="0" w:after="0" w:line="274" w:lineRule="exact"/>
              <w:shd w:val="clear" w:color="auto" w:fill="auto"/>
              <w:tabs>
                <w:tab w:val="left" w:pos="1648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ru-RU"/>
              </w:rPr>
      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392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Times New Roman" w:cs="Times New Roman"/>
                <w:bCs/>
                <w:i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 Пункт приложения №1  к ТТ № 1</w:t>
            </w:r>
            <w:r>
              <w:rPr>
                <w:rFonts w:eastAsia="Times New Roman" w:cs="Times New Roman"/>
                <w:bCs/>
                <w:i/>
                <w:color w:val="000000" w:themeColor="text1"/>
                <w:sz w:val="20"/>
                <w:szCs w:val="20"/>
              </w:rPr>
            </w:r>
            <w:r>
              <w:rPr>
                <w:rFonts w:eastAsia="Times New Roman" w:cs="Times New Roman"/>
                <w:bCs/>
                <w:i/>
                <w:color w:val="000000" w:themeColor="text1"/>
                <w:sz w:val="20"/>
                <w:szCs w:val="20"/>
              </w:rPr>
            </w:r>
          </w:p>
          <w:p>
            <w:pPr>
              <w:jc w:val="both"/>
              <w:widowControl w:val="off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Указание в заявке на участие в закупке наименования страны происхождения товара в соответствии </w:t>
            </w:r>
            <w:r>
              <w:rPr>
                <w:rStyle w:val="994"/>
                <w:rFonts w:eastAsia="Times New Roman" w:cs="Times New Roman"/>
                <w:b w:val="0"/>
                <w:bCs w:val="0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Общероссийский классификатор стран мира (ОКСМ)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</w:r>
          </w:p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269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Согласие с требованием</w:t>
            </w:r>
            <w:r>
              <w:rPr>
                <w:rFonts w:cs="Times New Roman"/>
                <w:sz w:val="22"/>
                <w:szCs w:val="22"/>
              </w:rPr>
            </w:r>
            <w:r>
              <w:rPr>
                <w:rFonts w:cs="Times New Roman"/>
                <w:sz w:val="22"/>
                <w:szCs w:val="22"/>
              </w:rPr>
            </w:r>
          </w:p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  <w:r>
              <w:rPr>
                <w:rFonts w:cs="Times New Roman"/>
                <w:sz w:val="22"/>
                <w:szCs w:val="22"/>
              </w:rPr>
            </w:r>
            <w:r>
              <w:rPr>
                <w:rFonts w:cs="Times New Roman"/>
                <w:sz w:val="22"/>
                <w:szCs w:val="22"/>
              </w:rPr>
            </w:r>
          </w:p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  <w:r>
              <w:rPr>
                <w:rFonts w:cs="Times New Roman"/>
                <w:sz w:val="22"/>
                <w:szCs w:val="22"/>
              </w:rPr>
            </w:r>
            <w:r>
              <w:rPr>
                <w:rFonts w:cs="Times New Roman"/>
                <w:sz w:val="22"/>
                <w:szCs w:val="22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cs="Times New Roman"/>
                <w:bCs/>
                <w:i/>
                <w:color w:val="000000" w:themeColor="text1"/>
                <w:sz w:val="20"/>
                <w:szCs w:val="20"/>
              </w:rPr>
            </w:pPr>
            <w:r>
              <w:rPr>
                <w:rFonts w:cs="Times New Roman" w:eastAsiaTheme="minorHAnsi"/>
                <w:i/>
                <w:iCs/>
                <w:color w:val="000000" w:themeColor="text1"/>
                <w:sz w:val="20"/>
                <w:szCs w:val="20"/>
                <w:lang w:eastAsia="en-US"/>
              </w:rPr>
              <w:t xml:space="preserve">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информации: </w:t>
            </w:r>
            <w:r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страны происхождения товара</w:t>
            </w:r>
            <w:r>
              <w:rPr>
                <w:rFonts w:cs="Times New Roman"/>
                <w:bCs/>
                <w:i/>
                <w:color w:val="000000" w:themeColor="text1"/>
                <w:sz w:val="20"/>
                <w:szCs w:val="20"/>
              </w:rPr>
            </w:r>
            <w:r>
              <w:rPr>
                <w:rFonts w:cs="Times New Roman"/>
                <w:bCs/>
                <w:i/>
                <w:color w:val="000000" w:themeColor="text1"/>
                <w:sz w:val="20"/>
                <w:szCs w:val="20"/>
              </w:rPr>
            </w:r>
          </w:p>
          <w:p>
            <w:pPr>
              <w:widowControl w:val="off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widowControl w:val="off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</w:r>
          </w:p>
          <w:p>
            <w:pPr>
              <w:widowControl w:val="off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</w:r>
          </w:p>
          <w:p>
            <w:pPr>
              <w:widowControl w:val="off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</w:r>
          </w:p>
          <w:p>
            <w:pPr>
              <w:widowControl w:val="off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</w:r>
          </w:p>
          <w:p>
            <w:pPr>
              <w:widowControl w:val="off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</w:r>
          </w:p>
          <w:p>
            <w:pPr>
              <w:widowControl w:val="off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</w:tbl>
    <w:p>
      <w:r/>
      <w:r/>
    </w:p>
    <w:p>
      <w:pPr>
        <w:pStyle w:val="959"/>
        <w:numPr>
          <w:ilvl w:val="0"/>
          <w:numId w:val="0"/>
        </w:numPr>
        <w:rPr>
          <w:rFonts w:eastAsia="Times New Roman"/>
          <w:bCs/>
        </w:rPr>
      </w:pPr>
      <w:r>
        <w:rPr>
          <w:rFonts w:eastAsia="Times New Roman"/>
          <w:bCs/>
        </w:rPr>
        <w:t xml:space="preserve">2.1.1.</w:t>
      </w:r>
      <w:bookmarkStart w:id="0" w:name="undefined"/>
      <w:r/>
      <w:bookmarkStart w:id="0" w:name="undefined"/>
      <w:r/>
      <w:bookmarkStart w:id="0" w:name="undefined"/>
      <w:r>
        <w:rPr>
          <w:rFonts w:eastAsia="Times New Roman"/>
          <w:bCs/>
        </w:rPr>
        <w:t xml:space="preserve">В составе заявки необходимо предоставить</w:t>
      </w:r>
      <w:bookmarkEnd w:id="0"/>
      <w:r>
        <w:rPr>
          <w:rFonts w:eastAsia="Times New Roman"/>
          <w:bCs/>
        </w:rPr>
        <w:t xml:space="preserve">:</w:t>
      </w:r>
      <w:r>
        <w:rPr>
          <w:rFonts w:eastAsia="Times New Roman"/>
          <w:bCs/>
        </w:rPr>
      </w:r>
      <w:r>
        <w:rPr>
          <w:rFonts w:eastAsia="Times New Roman"/>
          <w:bCs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Участник в составе своей заявки для подтверждения соответствия заявленных характеристик поставляемой продукции, требованиям настоящих </w:t>
      </w:r>
      <w:r>
        <w:rPr>
          <w:sz w:val="24"/>
          <w:szCs w:val="24"/>
        </w:rPr>
        <w:t xml:space="preserve">Технических требований</w:t>
      </w:r>
      <w:r>
        <w:rPr>
          <w:sz w:val="24"/>
          <w:szCs w:val="24"/>
        </w:rPr>
        <w:t xml:space="preserve">, предоставляет следующие документы: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Подробное </w:t>
      </w:r>
      <w:r>
        <w:rPr>
          <w:sz w:val="24"/>
          <w:szCs w:val="24"/>
        </w:rPr>
        <w:t xml:space="preserve">Техническое предложени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форме, заполненной в части столбца 6 «Предложение участника по характеристикам и параметрам» Таблицы 3 настоящих Технических требований, без корректировки уже имеющейся в таблице информации и требований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одробное описание технических характеристик предлагаемого товара в виде заполненной Таблицы 1.1 Приложения №1 к настоящим Техническим требованиям в части столбцов</w:t>
      </w:r>
      <w:r>
        <w:rPr>
          <w:sz w:val="24"/>
          <w:szCs w:val="24"/>
        </w:rPr>
        <w:t xml:space="preserve"> №3-№4  </w:t>
      </w:r>
      <w:r>
        <w:rPr>
          <w:sz w:val="24"/>
          <w:szCs w:val="24"/>
        </w:rPr>
        <w:t xml:space="preserve">Предложения Участника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>
        <w:rPr>
          <w:sz w:val="24"/>
          <w:szCs w:val="24"/>
        </w:rPr>
        <w:t xml:space="preserve">В случае предлож</w:t>
      </w:r>
      <w:r>
        <w:rPr>
          <w:sz w:val="24"/>
          <w:szCs w:val="24"/>
        </w:rPr>
        <w:t xml:space="preserve">ения к поставке эквивалента</w:t>
      </w:r>
      <w:r>
        <w:rPr>
          <w:sz w:val="24"/>
          <w:szCs w:val="24"/>
        </w:rPr>
        <w:t xml:space="preserve">, участник в составе заявки должен представить: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отчет о проведенных </w:t>
      </w:r>
      <w:r>
        <w:rPr>
          <w:sz w:val="24"/>
          <w:szCs w:val="24"/>
        </w:rPr>
        <w:t xml:space="preserve">испытаниях на</w:t>
      </w:r>
      <w:r>
        <w:rPr>
          <w:sz w:val="24"/>
          <w:szCs w:val="24"/>
        </w:rPr>
        <w:t xml:space="preserve"> совмещение предлагаемого эквивалента с маслом ТП-22с марка 1</w:t>
      </w:r>
      <w:r>
        <w:rPr>
          <w:sz w:val="24"/>
          <w:szCs w:val="24"/>
        </w:rPr>
        <w:t xml:space="preserve">, произведённого в соответствии с ТУ 38.101821-2013, с указанием основных параметров эксплуатационных характеристик. При смешении вышеуказанных масел, определяемые параметры должны соответствовать заявленным значениям, указанным в технических требованиях.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Основные параметры на совместимость по маслу ТП 22с марка 1: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4"/>
        <w:numPr>
          <w:ilvl w:val="0"/>
          <w:numId w:val="9"/>
        </w:numPr>
        <w:jc w:val="both"/>
      </w:pPr>
      <w:r>
        <w:t xml:space="preserve">стабильность против окисления;</w:t>
      </w:r>
      <w:r/>
    </w:p>
    <w:p>
      <w:pPr>
        <w:pStyle w:val="1074"/>
        <w:numPr>
          <w:ilvl w:val="0"/>
          <w:numId w:val="9"/>
        </w:numPr>
        <w:jc w:val="both"/>
      </w:pPr>
      <w:r>
        <w:t xml:space="preserve">массовая доля осадка;</w:t>
      </w:r>
      <w:r/>
    </w:p>
    <w:p>
      <w:pPr>
        <w:pStyle w:val="1074"/>
        <w:numPr>
          <w:ilvl w:val="0"/>
          <w:numId w:val="9"/>
        </w:numPr>
        <w:jc w:val="both"/>
      </w:pPr>
      <w:r>
        <w:t xml:space="preserve">кислотное число;</w:t>
      </w:r>
      <w:r/>
    </w:p>
    <w:p>
      <w:pPr>
        <w:pStyle w:val="1074"/>
        <w:numPr>
          <w:ilvl w:val="0"/>
          <w:numId w:val="9"/>
        </w:numPr>
        <w:jc w:val="both"/>
      </w:pPr>
      <w:r>
        <w:t xml:space="preserve">летучие кислоты;</w:t>
      </w:r>
      <w:r/>
    </w:p>
    <w:p>
      <w:pPr>
        <w:pStyle w:val="1074"/>
        <w:numPr>
          <w:ilvl w:val="0"/>
          <w:numId w:val="9"/>
        </w:numPr>
        <w:jc w:val="both"/>
      </w:pPr>
      <w:r>
        <w:t xml:space="preserve">время </w:t>
      </w:r>
      <w:r>
        <w:t xml:space="preserve">деэмульсации</w:t>
      </w:r>
      <w:r>
        <w:t xml:space="preserve">;</w:t>
      </w:r>
      <w:r/>
    </w:p>
    <w:p>
      <w:pPr>
        <w:pStyle w:val="1074"/>
        <w:numPr>
          <w:ilvl w:val="0"/>
          <w:numId w:val="9"/>
        </w:numPr>
        <w:jc w:val="both"/>
      </w:pPr>
      <w:r>
        <w:rPr>
          <w:highlight w:val="none"/>
        </w:rPr>
        <w:t xml:space="preserve">кинематическая вязкость;</w:t>
      </w:r>
      <w:r/>
    </w:p>
    <w:p>
      <w:pPr>
        <w:pStyle w:val="1074"/>
        <w:numPr>
          <w:ilvl w:val="0"/>
          <w:numId w:val="9"/>
        </w:numPr>
        <w:jc w:val="both"/>
      </w:pPr>
      <w:r>
        <w:t xml:space="preserve">коррозия на стальных стержнях. </w:t>
      </w:r>
      <w:r/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копию аттестата аккредитации (лаборатории, института, испытательного центра и </w:t>
      </w:r>
      <w:r>
        <w:rPr>
          <w:sz w:val="24"/>
          <w:szCs w:val="24"/>
        </w:rPr>
        <w:t xml:space="preserve">т.п</w:t>
      </w:r>
      <w:r>
        <w:rPr>
          <w:sz w:val="24"/>
          <w:szCs w:val="24"/>
        </w:rPr>
        <w:t xml:space="preserve">), выданной Федеральной службой по аккредитации (</w:t>
      </w:r>
      <w:r>
        <w:rPr>
          <w:sz w:val="24"/>
          <w:szCs w:val="24"/>
        </w:rPr>
        <w:t xml:space="preserve">Росаккредитация</w:t>
      </w:r>
      <w:r>
        <w:rPr>
          <w:sz w:val="24"/>
          <w:szCs w:val="24"/>
        </w:rPr>
        <w:t xml:space="preserve">) и области аккредитации (включающую Объект аккредитации КОД ОКПД2 119.20.29.160 Масла турбинные).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p>
      <w:pPr>
        <w:sectPr>
          <w:headerReference w:type="default" r:id="rId12"/>
          <w:headerReference w:type="first" r:id="rId13"/>
          <w:footnotePr/>
          <w:endnotePr/>
          <w:type w:val="nextPage"/>
          <w:pgSz w:w="16838" w:h="11906" w:orient="landscape"/>
          <w:pgMar w:top="1134" w:right="568" w:bottom="851" w:left="992" w:header="680" w:footer="0" w:gutter="0"/>
          <w:cols w:num="1" w:sep="0" w:space="720" w:equalWidth="1"/>
          <w:docGrid w:linePitch="360"/>
          <w:titlePg/>
        </w:sectPr>
      </w:pPr>
      <w:r/>
      <w:r/>
    </w:p>
    <w:p>
      <w:pPr>
        <w:pStyle w:val="957"/>
        <w:ind w:left="0"/>
        <w:jc w:val="center"/>
        <w:keepLines/>
      </w:pPr>
      <w:r/>
      <w:bookmarkStart w:id="13" w:name="_Toc12"/>
      <w:r>
        <w:t xml:space="preserve">Требования к документации по ценообразованию на этапе закупки.</w:t>
      </w:r>
      <w:bookmarkEnd w:id="13"/>
      <w:r/>
      <w:r/>
    </w:p>
    <w:p>
      <w:pPr>
        <w:jc w:val="both"/>
        <w:spacing w:before="60" w:after="60"/>
        <w:widowControl w:val="off"/>
        <w:tabs>
          <w:tab w:val="left" w:pos="426" w:leader="none"/>
        </w:tabs>
        <w:rPr>
          <w:bCs/>
          <w:iCs/>
          <w:sz w:val="24"/>
          <w:szCs w:val="24"/>
          <w:u w:val="single"/>
        </w:rPr>
      </w:pPr>
      <w:r>
        <w:rPr>
          <w:bCs/>
          <w:iCs/>
          <w:sz w:val="24"/>
          <w:szCs w:val="24"/>
          <w:u w:val="single"/>
        </w:rPr>
      </w:r>
      <w:r>
        <w:rPr>
          <w:bCs/>
          <w:iCs/>
          <w:sz w:val="24"/>
          <w:szCs w:val="24"/>
          <w:u w:val="single"/>
        </w:rPr>
      </w:r>
      <w:r>
        <w:rPr>
          <w:bCs/>
          <w:iCs/>
          <w:sz w:val="24"/>
          <w:szCs w:val="24"/>
          <w:u w:val="single"/>
        </w:rPr>
      </w:r>
    </w:p>
    <w:p>
      <w:pPr>
        <w:numPr>
          <w:ilvl w:val="1"/>
          <w:numId w:val="6"/>
        </w:numPr>
        <w:ind w:left="0" w:firstLine="0"/>
        <w:jc w:val="both"/>
        <w:spacing w:after="12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numPr>
          <w:ilvl w:val="1"/>
          <w:numId w:val="6"/>
        </w:numPr>
        <w:ind w:left="0" w:firstLine="0"/>
        <w:jc w:val="both"/>
        <w:spacing w:after="12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Дополнительные документы по ценообразованию в состав заявки не включаются и не предоставляются.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rPr>
          <w:b/>
          <w:iCs/>
          <w:color w:val="0000ff"/>
          <w:sz w:val="24"/>
          <w:szCs w:val="24"/>
        </w:rPr>
      </w:pPr>
      <w:r>
        <w:rPr>
          <w:b/>
          <w:iCs/>
          <w:color w:val="0000ff"/>
          <w:sz w:val="24"/>
          <w:szCs w:val="24"/>
        </w:rPr>
      </w:r>
      <w:r>
        <w:rPr>
          <w:b/>
          <w:iCs/>
          <w:color w:val="0000ff"/>
          <w:sz w:val="24"/>
          <w:szCs w:val="24"/>
        </w:rPr>
      </w:r>
      <w:r>
        <w:rPr>
          <w:b/>
          <w:iCs/>
          <w:color w:val="0000ff"/>
          <w:sz w:val="24"/>
          <w:szCs w:val="24"/>
        </w:rPr>
      </w:r>
    </w:p>
    <w:p>
      <w:pPr>
        <w:pStyle w:val="957"/>
        <w:numPr>
          <w:ilvl w:val="0"/>
          <w:numId w:val="0"/>
        </w:numPr>
        <w:jc w:val="center"/>
        <w:keepLines/>
      </w:pPr>
      <w:r/>
      <w:bookmarkStart w:id="14" w:name="_Toc13"/>
      <w:r>
        <w:t xml:space="preserve">4. Приложения: </w:t>
      </w:r>
      <w:bookmarkEnd w:id="14"/>
      <w:r/>
      <w:r/>
    </w:p>
    <w:p>
      <w:pPr>
        <w:jc w:val="both"/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Приложение 1. Таблица 1.1 Номенклатура, функциональные характеристики (потребительские свойства), количественные, качественные характеристики продукции, место поставки и объем закупаемой продукции;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Приложение 2. </w:t>
      </w:r>
      <w:r>
        <w:rPr>
          <w:sz w:val="24"/>
          <w:szCs w:val="24"/>
        </w:rPr>
        <w:t xml:space="preserve">ТУ 38.101821-2013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p>
      <w:pPr>
        <w:rPr>
          <w:rStyle w:val="1020"/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</w:r>
      <w:r>
        <w:rPr>
          <w:rStyle w:val="1020"/>
          <w:b w:val="0"/>
          <w:i w:val="0"/>
          <w:sz w:val="24"/>
          <w:szCs w:val="24"/>
        </w:rPr>
      </w:r>
      <w:r>
        <w:rPr>
          <w:rStyle w:val="1020"/>
          <w:b w:val="0"/>
          <w:i w:val="0"/>
          <w:sz w:val="24"/>
          <w:szCs w:val="24"/>
        </w:rPr>
      </w:r>
    </w:p>
    <w:sectPr>
      <w:headerReference w:type="default" r:id="rId14"/>
      <w:headerReference w:type="even" r:id="rId15"/>
      <w:headerReference w:type="first" r:id="rId16"/>
      <w:footnotePr/>
      <w:endnotePr/>
      <w:type w:val="nextPage"/>
      <w:pgSz w:w="11906" w:h="16838" w:orient="portrait"/>
      <w:pgMar w:top="993" w:right="851" w:bottom="709" w:left="1134" w:header="426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Batang">
    <w:panose1 w:val="02000603000000000000"/>
  </w:font>
  <w:font w:name="Calibri">
    <w:panose1 w:val="020F0502020204030204"/>
  </w:font>
  <w:font w:name="Wingdings">
    <w:panose1 w:val="05010000000000000000"/>
  </w:font>
  <w:font w:name="Liberation Sans">
    <w:panose1 w:val="020B0604020202020204"/>
  </w:font>
  <w:font w:name="Noto Serif CJK SC">
    <w:panose1 w:val="020B0502040504020204"/>
  </w:font>
  <w:font w:name="Arial">
    <w:panose1 w:val="020B0604020202020204"/>
  </w:font>
  <w:font w:name="Arial Unicode MS">
    <w:panose1 w:val="020B060402020202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8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5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8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3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rgbClr val="000000"/>
                      </a:lnRef>
                      <a:fillRef idx="0">
                        <a:srgbClr val="000000"/>
                      </a:fillRef>
                      <a:effectRef idx="0">
                        <a:srgbClr val="000000"/>
                      </a:effectRef>
                      <a:fontRef idx="minor"/>
                    </wps:style>
                    <wps:txbx>
                      <w:txbxContent>
                        <w:p>
                          <w:pPr>
                            <w:pStyle w:val="1048"/>
                            <w:rPr>
                              <w:rStyle w:val="991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 xml:space="preserve">0</w:t>
                          </w:r>
                          <w:r>
                            <w:fldChar w:fldCharType="end"/>
                          </w:r>
                          <w:r>
                            <w:rPr>
                              <w:rStyle w:val="991"/>
                            </w:rPr>
                            <w:fldChar w:fldCharType="begin"/>
                          </w:r>
                          <w:r>
                            <w:rPr>
                              <w:rStyle w:val="991"/>
                            </w:rPr>
                            <w:instrText xml:space="preserve"> PAGE </w:instrText>
                          </w:r>
                          <w:r>
                            <w:rPr>
                              <w:rStyle w:val="991"/>
                            </w:rPr>
                            <w:fldChar w:fldCharType="separate"/>
                          </w:r>
                          <w:r>
                            <w:rPr>
                              <w:rStyle w:val="991"/>
                            </w:rPr>
                            <w:t xml:space="preserve">0</w:t>
                          </w:r>
                          <w:r>
                            <w:rPr>
                              <w:rStyle w:val="991"/>
                            </w:rPr>
                            <w:fldChar w:fldCharType="end"/>
                          </w:r>
                          <w:r>
                            <w:rPr>
                              <w:rStyle w:val="991"/>
                            </w:rPr>
                          </w:r>
                          <w:r>
                            <w:rPr>
                              <w:rStyle w:val="991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3;o:allowoverlap:true;o:allowincell:fals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1048"/>
                      <w:rPr>
                        <w:rStyle w:val="991"/>
                      </w:rPr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 xml:space="preserve">0</w:t>
                    </w:r>
                    <w:r>
                      <w:fldChar w:fldCharType="end"/>
                    </w:r>
                    <w:r>
                      <w:rPr>
                        <w:rStyle w:val="991"/>
                      </w:rPr>
                      <w:fldChar w:fldCharType="begin"/>
                    </w:r>
                    <w:r>
                      <w:rPr>
                        <w:rStyle w:val="991"/>
                      </w:rPr>
                      <w:instrText xml:space="preserve"> PAGE </w:instrText>
                    </w:r>
                    <w:r>
                      <w:rPr>
                        <w:rStyle w:val="991"/>
                      </w:rPr>
                      <w:fldChar w:fldCharType="separate"/>
                    </w:r>
                    <w:r>
                      <w:rPr>
                        <w:rStyle w:val="991"/>
                      </w:rPr>
                      <w:t xml:space="preserve">0</w:t>
                    </w:r>
                    <w:r>
                      <w:rPr>
                        <w:rStyle w:val="991"/>
                      </w:rPr>
                      <w:fldChar w:fldCharType="end"/>
                    </w:r>
                    <w:r>
                      <w:rPr>
                        <w:rStyle w:val="991"/>
                      </w:rPr>
                    </w:r>
                    <w:r>
                      <w:rPr>
                        <w:rStyle w:val="991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8"/>
      <w:jc w:val="center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8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7</w:t>
    </w:r>
    <w:r>
      <w:fldChar w:fldCharType="end"/>
    </w:r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8"/>
      <w:jc w:val="center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8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0</w:t>
    </w:r>
    <w:r>
      <w:fldChar w:fldCharType="end"/>
    </w:r>
    <w:r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8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  <a:miter/>
                      </a:ln>
                    </wps:spPr>
                    <wps:style>
                      <a:lnRef idx="0">
                        <a:srgbClr val="000000"/>
                      </a:lnRef>
                      <a:fillRef idx="0">
                        <a:srgbClr val="000000"/>
                      </a:fillRef>
                      <a:effectRef idx="0">
                        <a:srgbClr val="000000"/>
                      </a:effectRef>
                      <a:fontRef idx="minor"/>
                    </wps:style>
                    <wps:txbx>
                      <w:txbxContent>
                        <w:p>
                          <w:pPr>
                            <w:pStyle w:val="1048"/>
                            <w:rPr>
                              <w:rStyle w:val="991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 xml:space="preserve">0</w:t>
                          </w:r>
                          <w:r>
                            <w:fldChar w:fldCharType="end"/>
                          </w:r>
                          <w:r>
                            <w:rPr>
                              <w:rStyle w:val="991"/>
                            </w:rPr>
                            <w:fldChar w:fldCharType="begin"/>
                          </w:r>
                          <w:r>
                            <w:rPr>
                              <w:rStyle w:val="991"/>
                            </w:rPr>
                            <w:instrText xml:space="preserve"> PAGE </w:instrText>
                          </w:r>
                          <w:r>
                            <w:rPr>
                              <w:rStyle w:val="991"/>
                            </w:rPr>
                            <w:fldChar w:fldCharType="separate"/>
                          </w:r>
                          <w:r>
                            <w:rPr>
                              <w:rStyle w:val="991"/>
                            </w:rPr>
                            <w:t xml:space="preserve">0</w:t>
                          </w:r>
                          <w:r>
                            <w:rPr>
                              <w:rStyle w:val="991"/>
                            </w:rPr>
                            <w:fldChar w:fldCharType="end"/>
                          </w:r>
                          <w:r>
                            <w:rPr>
                              <w:rStyle w:val="991"/>
                            </w:rPr>
                          </w:r>
                          <w:r>
                            <w:rPr>
                              <w:rStyle w:val="991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" o:spt="1" type="#_x0000_t1" style="position:absolute;z-index:-2;o:allowoverlap:true;o:allowincell:fals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1048"/>
                      <w:rPr>
                        <w:rStyle w:val="991"/>
                      </w:rPr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 xml:space="preserve">0</w:t>
                    </w:r>
                    <w:r>
                      <w:fldChar w:fldCharType="end"/>
                    </w:r>
                    <w:r>
                      <w:rPr>
                        <w:rStyle w:val="991"/>
                      </w:rPr>
                      <w:fldChar w:fldCharType="begin"/>
                    </w:r>
                    <w:r>
                      <w:rPr>
                        <w:rStyle w:val="991"/>
                      </w:rPr>
                      <w:instrText xml:space="preserve"> PAGE </w:instrText>
                    </w:r>
                    <w:r>
                      <w:rPr>
                        <w:rStyle w:val="991"/>
                      </w:rPr>
                      <w:fldChar w:fldCharType="separate"/>
                    </w:r>
                    <w:r>
                      <w:rPr>
                        <w:rStyle w:val="991"/>
                      </w:rPr>
                      <w:t xml:space="preserve">0</w:t>
                    </w:r>
                    <w:r>
                      <w:rPr>
                        <w:rStyle w:val="991"/>
                      </w:rPr>
                      <w:fldChar w:fldCharType="end"/>
                    </w:r>
                    <w:r>
                      <w:rPr>
                        <w:rStyle w:val="991"/>
                      </w:rPr>
                    </w:r>
                    <w:r>
                      <w:rPr>
                        <w:rStyle w:val="991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8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04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pStyle w:val="1041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</w:lvl>
  </w:abstractNum>
  <w:abstractNum w:abstractNumId="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8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40" w:hanging="4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  <w:tabs>
          <w:tab w:val="num" w:pos="0" w:leader="none"/>
        </w:tabs>
      </w:pPr>
      <w:rPr>
        <w:b w:val="0"/>
        <w:bCs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pStyle w:val="957"/>
      <w:isLgl w:val="false"/>
      <w:suff w:val="tab"/>
      <w:lvlText w:val="%1."/>
      <w:lvlJc w:val="left"/>
      <w:pPr>
        <w:ind w:left="900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959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decimal"/>
      <w:pStyle w:val="1098"/>
      <w:isLgl w:val="false"/>
      <w:suff w:val="tab"/>
      <w:lvlText w:val="1.%1"/>
      <w:lvlJc w:val="left"/>
      <w:pPr>
        <w:ind w:left="142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0" w:leader="none"/>
        </w:tabs>
      </w:pPr>
    </w:lvl>
  </w:abstractNum>
  <w:abstractNum w:abstractNumId="5">
    <w:multiLevelType w:val="hybridMultilevel"/>
    <w:lvl w:ilvl="0">
      <w:start w:val="4"/>
      <w:numFmt w:val="bullet"/>
      <w:pStyle w:val="1081"/>
      <w:isLgl w:val="false"/>
      <w:suff w:val="tab"/>
      <w:lvlText w:val="-"/>
      <w:lvlJc w:val="left"/>
      <w:pPr>
        <w:ind w:left="-207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pStyle w:val="1082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pStyle w:val="1080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</w:lvl>
    <w:lvl w:ilvl="3">
      <w:start w:val="1"/>
      <w:numFmt w:val="russianLower"/>
      <w:pStyle w:val="1091"/>
      <w:isLgl w:val="false"/>
      <w:suff w:val="tab"/>
      <w:lvlText w:val="(%4)"/>
      <w:lvlJc w:val="left"/>
      <w:pPr>
        <w:ind w:left="1985" w:hanging="567"/>
        <w:tabs>
          <w:tab w:val="num" w:pos="0" w:leader="none"/>
        </w:tabs>
      </w:pPr>
    </w:lvl>
    <w:lvl w:ilvl="4">
      <w:start w:val="1"/>
      <w:numFmt w:val="bullet"/>
      <w:pStyle w:val="1092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pStyle w:val="1095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  <w:lvl w:ilvl="6">
      <w:start w:val="1"/>
      <w:numFmt w:val="none"/>
      <w:pStyle w:val="1093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</w:lvl>
    <w:lvl w:ilvl="7">
      <w:start w:val="1"/>
      <w:numFmt w:val="none"/>
      <w:pStyle w:val="1094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2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Noto Serif CJK SC" w:cs="Arial Unicode MS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830">
    <w:name w:val="Table Grid"/>
    <w:basedOn w:val="96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1">
    <w:name w:val="Table Grid Light"/>
    <w:basedOn w:val="96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2">
    <w:name w:val="Plain Table 1"/>
    <w:basedOn w:val="96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33">
    <w:name w:val="Plain Table 2"/>
    <w:basedOn w:val="96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34">
    <w:name w:val="Plain Table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5">
    <w:name w:val="Plain Table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Plain Table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7">
    <w:name w:val="Grid Table 1 Light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Grid Table 1 Light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Grid Table 1 Light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Grid Table 1 Light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Grid Table 1 Light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Grid Table 1 Light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Grid Table 1 Light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Grid Table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2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2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2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2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2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2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3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3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3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3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3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3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4"/>
    <w:basedOn w:val="9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9">
    <w:name w:val="Grid Table 4 - Accent 1"/>
    <w:basedOn w:val="9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60">
    <w:name w:val="Grid Table 4 - Accent 2"/>
    <w:basedOn w:val="9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61">
    <w:name w:val="Grid Table 4 - Accent 3"/>
    <w:basedOn w:val="9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62">
    <w:name w:val="Grid Table 4 - Accent 4"/>
    <w:basedOn w:val="9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63">
    <w:name w:val="Grid Table 4 - Accent 5"/>
    <w:basedOn w:val="9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4">
    <w:name w:val="Grid Table 4 - Accent 6"/>
    <w:basedOn w:val="9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5">
    <w:name w:val="Grid Table 5 Dark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66">
    <w:name w:val="Grid Table 5 Dark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67">
    <w:name w:val="Grid Table 5 Dark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8">
    <w:name w:val="Grid Table 5 Dark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9">
    <w:name w:val="Grid Table 5 Dark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0">
    <w:name w:val="Grid Table 5 Dark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71">
    <w:name w:val="Grid Table 5 Dark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72">
    <w:name w:val="Grid Table 6 Colorful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73">
    <w:name w:val="Grid Table 6 Colorful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74">
    <w:name w:val="Grid Table 6 Colorful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75">
    <w:name w:val="Grid Table 6 Colorful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76">
    <w:name w:val="Grid Table 6 Colorful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77">
    <w:name w:val="Grid Table 6 Colorful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78">
    <w:name w:val="Grid Table 6 Colorful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79">
    <w:name w:val="Grid Table 7 Colorful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7 Colorful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Liberation Sans" w:hAnsi="Liberation Sans"/>
        <w:color w:val="3664a9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7 Colorful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7 Colorful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7 Colorful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7 Colorful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Liberation Sans" w:hAnsi="Liberation Sans"/>
        <w:color w:val="245d8d" w:themeColor="accent5" w:themeShade="95"/>
        <w:sz w:val="22"/>
      </w:rPr>
    </w:tblStylePr>
    <w:tblStylePr w:type="firstCol">
      <w:rPr>
        <w:rFonts w:ascii="Liberation Sans" w:hAnsi="Liberation Sans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7 Colorful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1 Light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List Table 1 Light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List Table 1 Light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List Table 1 Light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1 Light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1 Light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List Table 1 Light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List Table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4">
    <w:name w:val="List Table 2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5">
    <w:name w:val="List Table 2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96">
    <w:name w:val="List Table 2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7">
    <w:name w:val="List Table 2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8">
    <w:name w:val="List Table 2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99">
    <w:name w:val="List Table 2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00">
    <w:name w:val="List Table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3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3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3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3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3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3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4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4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4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4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4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4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List Table 5 Dark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5">
    <w:name w:val="List Table 5 Dark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6">
    <w:name w:val="List Table 5 Dark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7">
    <w:name w:val="List Table 5 Dark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8">
    <w:name w:val="List Table 5 Dark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9">
    <w:name w:val="List Table 5 Dark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20">
    <w:name w:val="List Table 5 Dark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21">
    <w:name w:val="List Table 6 Colorful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22">
    <w:name w:val="List Table 6 Colorful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23">
    <w:name w:val="List Table 6 Colorful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4">
    <w:name w:val="List Table 6 Colorful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5">
    <w:name w:val="List Table 6 Colorful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26">
    <w:name w:val="List Table 6 Colorful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7">
    <w:name w:val="List Table 6 Colorful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8">
    <w:name w:val="List Table 7 Colorful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929">
    <w:name w:val="List Table 7 Colorful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Liberation Sans" w:hAnsi="Liberation Sans"/>
        <w:color w:val="254374" w:themeColor="accent1" w:themeShade="95"/>
        <w:sz w:val="22"/>
      </w:rPr>
    </w:tblStylePr>
    <w:tblStylePr w:type="firstCol">
      <w:rPr>
        <w:rFonts w:ascii="Liberation Sans" w:hAnsi="Liberation Sans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54374" w:themeColor="accent1" w:themeShade="95"/>
        <w:sz w:val="22"/>
      </w:rPr>
    </w:tblStylePr>
  </w:style>
  <w:style w:type="table" w:styleId="930">
    <w:name w:val="List Table 7 Colorful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931">
    <w:name w:val="List Table 7 Colorful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932">
    <w:name w:val="List Table 7 Colorful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933">
    <w:name w:val="List Table 7 Colorful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Liberation Sans" w:hAnsi="Liberation Sans"/>
        <w:color w:val="2e78b1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e78b1" w:themeColor="accent5" w:themeTint="9A" w:themeShade="95"/>
        <w:sz w:val="22"/>
      </w:rPr>
    </w:tblStylePr>
  </w:style>
  <w:style w:type="table" w:styleId="934">
    <w:name w:val="List Table 7 Colorful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935">
    <w:name w:val="Lined - Accent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6">
    <w:name w:val="Lined - Accent 1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37">
    <w:name w:val="Lined - Accent 2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38">
    <w:name w:val="Lined - Accent 3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39">
    <w:name w:val="Lined - Accent 4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40">
    <w:name w:val="Lined - Accent 5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41">
    <w:name w:val="Lined - Accent 6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42">
    <w:name w:val="Bordered &amp; Lined - Accent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3">
    <w:name w:val="Bordered &amp; Lined - Accent 1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44">
    <w:name w:val="Bordered &amp; Lined - Accent 2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45">
    <w:name w:val="Bordered &amp; Lined - Accent 3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46">
    <w:name w:val="Bordered &amp; Lined - Accent 4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47">
    <w:name w:val="Bordered &amp; Lined - Accent 5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48">
    <w:name w:val="Bordered &amp; Lined - Accent 6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49">
    <w:name w:val="Bordered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50">
    <w:name w:val="Bordered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51">
    <w:name w:val="Bordered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52">
    <w:name w:val="Bordered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53">
    <w:name w:val="Bordered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4">
    <w:name w:val="Bordered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5">
    <w:name w:val="Bordered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956" w:default="1">
    <w:name w:val="Normal"/>
    <w:qFormat/>
    <w:rPr>
      <w:sz w:val="28"/>
      <w:szCs w:val="28"/>
    </w:rPr>
  </w:style>
  <w:style w:type="paragraph" w:styleId="957">
    <w:name w:val="Heading 1"/>
    <w:basedOn w:val="959"/>
    <w:qFormat/>
    <w:pPr>
      <w:numPr>
        <w:ilvl w:val="0"/>
      </w:numPr>
      <w:ind w:left="5038" w:firstLine="0"/>
      <w:outlineLvl w:val="0"/>
    </w:pPr>
    <w:rPr>
      <w:sz w:val="28"/>
      <w:szCs w:val="28"/>
    </w:rPr>
  </w:style>
  <w:style w:type="paragraph" w:styleId="958">
    <w:name w:val="Heading 2"/>
    <w:basedOn w:val="960"/>
    <w:qFormat/>
    <w:pPr>
      <w:outlineLvl w:val="1"/>
    </w:pPr>
  </w:style>
  <w:style w:type="paragraph" w:styleId="959">
    <w:name w:val="Heading 3"/>
    <w:basedOn w:val="956"/>
    <w:qFormat/>
    <w:pPr>
      <w:numPr>
        <w:ilvl w:val="2"/>
        <w:numId w:val="3"/>
      </w:numPr>
      <w:ind w:left="426" w:firstLine="0"/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960">
    <w:name w:val="Heading 4"/>
    <w:basedOn w:val="959"/>
    <w:qFormat/>
    <w:pPr>
      <w:numPr>
        <w:ilvl w:val="0"/>
        <w:numId w:val="0"/>
      </w:numPr>
      <w:ind w:left="432" w:hanging="432"/>
      <w:tabs>
        <w:tab w:val="num" w:pos="0" w:leader="none"/>
      </w:tabs>
      <w:outlineLvl w:val="3"/>
    </w:pPr>
    <w:rPr>
      <w:bCs/>
    </w:rPr>
  </w:style>
  <w:style w:type="paragraph" w:styleId="961">
    <w:name w:val="Heading 5"/>
    <w:basedOn w:val="956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62">
    <w:name w:val="Heading 6"/>
    <w:basedOn w:val="956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63">
    <w:name w:val="Heading 7"/>
    <w:basedOn w:val="956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64">
    <w:name w:val="Heading 8"/>
    <w:basedOn w:val="956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65">
    <w:name w:val="Heading 9"/>
    <w:basedOn w:val="956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966" w:default="1">
    <w:name w:val="Default Paragraph Font"/>
    <w:uiPriority w:val="1"/>
    <w:semiHidden/>
    <w:unhideWhenUsed/>
  </w:style>
  <w:style w:type="table" w:styleId="96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68" w:default="1">
    <w:name w:val="No List"/>
    <w:uiPriority w:val="99"/>
    <w:semiHidden/>
    <w:unhideWhenUsed/>
  </w:style>
  <w:style w:type="character" w:styleId="969" w:customStyle="1">
    <w:name w:val="Title Char"/>
    <w:basedOn w:val="966"/>
    <w:uiPriority w:val="10"/>
    <w:qFormat/>
    <w:rPr>
      <w:sz w:val="48"/>
      <w:szCs w:val="48"/>
    </w:rPr>
  </w:style>
  <w:style w:type="character" w:styleId="970" w:customStyle="1">
    <w:name w:val="Caption Char"/>
    <w:uiPriority w:val="99"/>
    <w:qFormat/>
  </w:style>
  <w:style w:type="character" w:styleId="971" w:customStyle="1">
    <w:name w:val="Heading 1 Char"/>
    <w:basedOn w:val="966"/>
    <w:uiPriority w:val="9"/>
    <w:qFormat/>
    <w:rPr>
      <w:rFonts w:ascii="Arial" w:hAnsi="Arial" w:eastAsia="Arial" w:cs="Arial"/>
      <w:sz w:val="40"/>
      <w:szCs w:val="40"/>
    </w:rPr>
  </w:style>
  <w:style w:type="character" w:styleId="972" w:customStyle="1">
    <w:name w:val="Heading 2 Char"/>
    <w:basedOn w:val="966"/>
    <w:uiPriority w:val="9"/>
    <w:qFormat/>
    <w:rPr>
      <w:rFonts w:ascii="Arial" w:hAnsi="Arial" w:eastAsia="Arial" w:cs="Arial"/>
      <w:sz w:val="34"/>
    </w:rPr>
  </w:style>
  <w:style w:type="character" w:styleId="973" w:customStyle="1">
    <w:name w:val="Heading 3 Char"/>
    <w:basedOn w:val="966"/>
    <w:uiPriority w:val="9"/>
    <w:qFormat/>
    <w:rPr>
      <w:rFonts w:ascii="Arial" w:hAnsi="Arial" w:eastAsia="Arial" w:cs="Arial"/>
      <w:sz w:val="30"/>
      <w:szCs w:val="30"/>
    </w:rPr>
  </w:style>
  <w:style w:type="character" w:styleId="974" w:customStyle="1">
    <w:name w:val="Heading 4 Char"/>
    <w:basedOn w:val="966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975" w:customStyle="1">
    <w:name w:val="Heading 5 Char"/>
    <w:basedOn w:val="966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976" w:customStyle="1">
    <w:name w:val="Heading 6 Char"/>
    <w:basedOn w:val="966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977" w:customStyle="1">
    <w:name w:val="Heading 7 Char"/>
    <w:basedOn w:val="966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978" w:customStyle="1">
    <w:name w:val="Heading 8 Char"/>
    <w:basedOn w:val="966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79" w:customStyle="1">
    <w:name w:val="Heading 9 Char"/>
    <w:basedOn w:val="966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980" w:customStyle="1">
    <w:name w:val="Заголовок Знак"/>
    <w:basedOn w:val="966"/>
    <w:uiPriority w:val="10"/>
    <w:qFormat/>
    <w:rPr>
      <w:sz w:val="48"/>
      <w:szCs w:val="48"/>
    </w:rPr>
  </w:style>
  <w:style w:type="character" w:styleId="981" w:customStyle="1">
    <w:name w:val="Subtitle Char"/>
    <w:basedOn w:val="966"/>
    <w:uiPriority w:val="11"/>
    <w:qFormat/>
    <w:rPr>
      <w:sz w:val="24"/>
      <w:szCs w:val="24"/>
    </w:rPr>
  </w:style>
  <w:style w:type="character" w:styleId="982" w:customStyle="1">
    <w:name w:val="Quote Char"/>
    <w:uiPriority w:val="29"/>
    <w:qFormat/>
    <w:rPr>
      <w:i/>
    </w:rPr>
  </w:style>
  <w:style w:type="character" w:styleId="983" w:customStyle="1">
    <w:name w:val="Intense Quote Char"/>
    <w:uiPriority w:val="30"/>
    <w:qFormat/>
    <w:rPr>
      <w:i/>
    </w:rPr>
  </w:style>
  <w:style w:type="character" w:styleId="984" w:customStyle="1">
    <w:name w:val="Header Char"/>
    <w:basedOn w:val="966"/>
    <w:uiPriority w:val="99"/>
    <w:qFormat/>
  </w:style>
  <w:style w:type="character" w:styleId="985" w:customStyle="1">
    <w:name w:val="Footer Char"/>
    <w:basedOn w:val="966"/>
    <w:uiPriority w:val="99"/>
    <w:qFormat/>
  </w:style>
  <w:style w:type="character" w:styleId="986" w:customStyle="1">
    <w:name w:val="Нижний колонтитул Знак"/>
    <w:uiPriority w:val="99"/>
    <w:qFormat/>
  </w:style>
  <w:style w:type="character" w:styleId="987" w:customStyle="1">
    <w:name w:val="Footnote Text Char"/>
    <w:uiPriority w:val="99"/>
    <w:qFormat/>
    <w:rPr>
      <w:sz w:val="18"/>
    </w:rPr>
  </w:style>
  <w:style w:type="character" w:styleId="988" w:customStyle="1">
    <w:name w:val="Endnote Text Char"/>
    <w:uiPriority w:val="99"/>
    <w:qFormat/>
    <w:rPr>
      <w:sz w:val="20"/>
    </w:rPr>
  </w:style>
  <w:style w:type="character" w:styleId="989" w:customStyle="1">
    <w:name w:val="Символ сноски"/>
    <w:qFormat/>
    <w:rPr>
      <w:vertAlign w:val="superscript"/>
    </w:rPr>
  </w:style>
  <w:style w:type="character" w:styleId="990">
    <w:name w:val="footnote reference"/>
    <w:rPr>
      <w:vertAlign w:val="superscript"/>
    </w:rPr>
  </w:style>
  <w:style w:type="character" w:styleId="991">
    <w:name w:val="page number"/>
    <w:basedOn w:val="966"/>
    <w:qFormat/>
  </w:style>
  <w:style w:type="character" w:styleId="992">
    <w:name w:val="Hyperlink"/>
    <w:uiPriority w:val="99"/>
    <w:rPr>
      <w:color w:val="0000ff"/>
      <w:u w:val="single"/>
    </w:rPr>
  </w:style>
  <w:style w:type="character" w:styleId="993">
    <w:name w:val="annotation reference"/>
    <w:uiPriority w:val="99"/>
    <w:semiHidden/>
    <w:qFormat/>
    <w:rPr>
      <w:sz w:val="16"/>
      <w:szCs w:val="16"/>
    </w:rPr>
  </w:style>
  <w:style w:type="character" w:styleId="994">
    <w:name w:val="Strong"/>
    <w:qFormat/>
    <w:rPr>
      <w:b/>
      <w:bCs/>
    </w:rPr>
  </w:style>
  <w:style w:type="character" w:styleId="995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996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997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998" w:customStyle="1">
    <w:name w:val="Заголовок 1 Знак"/>
    <w:qFormat/>
    <w:rPr>
      <w:rFonts w:eastAsia="Calibri"/>
      <w:b/>
      <w:sz w:val="28"/>
      <w:szCs w:val="28"/>
    </w:rPr>
  </w:style>
  <w:style w:type="character" w:styleId="999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1000" w:customStyle="1">
    <w:name w:val="Заголовок 3 Знак"/>
    <w:qFormat/>
    <w:rPr>
      <w:rFonts w:eastAsia="Calibri"/>
      <w:b/>
      <w:sz w:val="24"/>
      <w:szCs w:val="24"/>
    </w:rPr>
  </w:style>
  <w:style w:type="character" w:styleId="1001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1002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1003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1004" w:customStyle="1">
    <w:name w:val="Название Знак"/>
    <w:uiPriority w:val="10"/>
    <w:qFormat/>
    <w:rPr>
      <w:sz w:val="28"/>
    </w:rPr>
  </w:style>
  <w:style w:type="character" w:styleId="1005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06">
    <w:name w:val="Emphasis"/>
    <w:uiPriority w:val="20"/>
    <w:qFormat/>
    <w:rPr>
      <w:i/>
      <w:iCs/>
    </w:rPr>
  </w:style>
  <w:style w:type="character" w:styleId="1007" w:customStyle="1">
    <w:name w:val="Цитата 2 Знак"/>
    <w:uiPriority w:val="29"/>
    <w:qFormat/>
    <w:rPr>
      <w:rFonts w:ascii="Calibri" w:hAnsi="Calibri" w:eastAsia="Calibri"/>
      <w:i/>
      <w:iCs/>
      <w:color w:val="000000"/>
    </w:rPr>
  </w:style>
  <w:style w:type="character" w:styleId="1008" w:customStyle="1">
    <w:name w:val="Выделенная цитата Знак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1009">
    <w:name w:val="Subtle Emphasis"/>
    <w:uiPriority w:val="19"/>
    <w:qFormat/>
    <w:rPr>
      <w:i/>
      <w:iCs/>
      <w:color w:val="808080"/>
    </w:rPr>
  </w:style>
  <w:style w:type="character" w:styleId="1010">
    <w:name w:val="Intense Emphasis"/>
    <w:uiPriority w:val="21"/>
    <w:qFormat/>
    <w:rPr>
      <w:b/>
      <w:bCs/>
      <w:i/>
      <w:iCs/>
      <w:color w:val="4f81bd"/>
    </w:rPr>
  </w:style>
  <w:style w:type="character" w:styleId="1011">
    <w:name w:val="Subtle Reference"/>
    <w:uiPriority w:val="31"/>
    <w:qFormat/>
    <w:rPr>
      <w:smallCaps/>
      <w:color w:val="c0504d"/>
      <w:u w:val="single"/>
    </w:rPr>
  </w:style>
  <w:style w:type="character" w:styleId="1012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13">
    <w:name w:val="Book Title"/>
    <w:uiPriority w:val="33"/>
    <w:qFormat/>
    <w:rPr>
      <w:b/>
      <w:bCs/>
      <w:smallCaps/>
      <w:spacing w:val="5"/>
    </w:rPr>
  </w:style>
  <w:style w:type="character" w:styleId="1014" w:customStyle="1">
    <w:name w:val="Электронная подпись Знак"/>
    <w:uiPriority w:val="99"/>
    <w:qFormat/>
    <w:rPr>
      <w:rFonts w:eastAsia="Calibri"/>
      <w:sz w:val="24"/>
      <w:szCs w:val="24"/>
    </w:rPr>
  </w:style>
  <w:style w:type="character" w:styleId="1015" w:customStyle="1">
    <w:name w:val="Подпункт Знак1"/>
    <w:qFormat/>
    <w:rPr>
      <w:sz w:val="28"/>
    </w:rPr>
  </w:style>
  <w:style w:type="character" w:styleId="1016" w:customStyle="1">
    <w:name w:val="Текст сноски Знак"/>
    <w:uiPriority w:val="99"/>
    <w:qFormat/>
  </w:style>
  <w:style w:type="character" w:styleId="1017" w:customStyle="1">
    <w:name w:val="Основной текст Знак"/>
    <w:qFormat/>
    <w:rPr>
      <w:sz w:val="28"/>
      <w:szCs w:val="28"/>
    </w:rPr>
  </w:style>
  <w:style w:type="character" w:styleId="1018" w:customStyle="1">
    <w:name w:val="blk"/>
    <w:qFormat/>
  </w:style>
  <w:style w:type="character" w:styleId="1019" w:customStyle="1">
    <w:name w:val="Абзац списка Знак"/>
    <w:uiPriority w:val="34"/>
    <w:qFormat/>
    <w:rPr>
      <w:rFonts w:eastAsia="Calibri"/>
      <w:sz w:val="24"/>
      <w:szCs w:val="24"/>
    </w:rPr>
  </w:style>
  <w:style w:type="character" w:styleId="1020" w:customStyle="1">
    <w:name w:val="комментарий"/>
    <w:qFormat/>
    <w:rPr>
      <w:b/>
      <w:i/>
      <w:shd w:val="clear" w:color="auto" w:fill="ffff99"/>
    </w:rPr>
  </w:style>
  <w:style w:type="character" w:styleId="1021" w:customStyle="1">
    <w:name w:val="Подподпункт Знак"/>
    <w:qFormat/>
    <w:rPr>
      <w:sz w:val="26"/>
      <w:szCs w:val="26"/>
    </w:rPr>
  </w:style>
  <w:style w:type="character" w:styleId="1022" w:customStyle="1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1023" w:customStyle="1">
    <w:name w:val="Верхний колонтитул Знак"/>
    <w:uiPriority w:val="99"/>
    <w:qFormat/>
    <w:rPr>
      <w:sz w:val="24"/>
      <w:szCs w:val="24"/>
    </w:rPr>
  </w:style>
  <w:style w:type="character" w:styleId="1024" w:customStyle="1">
    <w:name w:val="Текст примечания Знак"/>
    <w:semiHidden/>
    <w:qFormat/>
  </w:style>
  <w:style w:type="character" w:styleId="1025" w:customStyle="1">
    <w:name w:val="Текст концевой сноски Знак"/>
    <w:basedOn w:val="966"/>
    <w:qFormat/>
  </w:style>
  <w:style w:type="character" w:styleId="1026" w:customStyle="1">
    <w:name w:val="Символ концевой сноски"/>
    <w:qFormat/>
    <w:rPr>
      <w:vertAlign w:val="superscript"/>
    </w:rPr>
  </w:style>
  <w:style w:type="character" w:styleId="1027">
    <w:name w:val="endnote reference"/>
    <w:rPr>
      <w:vertAlign w:val="superscript"/>
    </w:rPr>
  </w:style>
  <w:style w:type="character" w:styleId="1028" w:customStyle="1">
    <w:name w:val="Пункт2 Знак"/>
    <w:qFormat/>
    <w:rPr>
      <w:b/>
      <w:sz w:val="28"/>
    </w:rPr>
  </w:style>
  <w:style w:type="character" w:styleId="1029" w:customStyle="1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1030" w:customStyle="1">
    <w:name w:val="Неразрешенное упоминание1"/>
    <w:basedOn w:val="966"/>
    <w:uiPriority w:val="99"/>
    <w:semiHidden/>
    <w:unhideWhenUsed/>
    <w:qFormat/>
    <w:rPr>
      <w:color w:val="605e5c"/>
      <w:shd w:val="clear" w:color="auto" w:fill="e1dfdd"/>
    </w:rPr>
  </w:style>
  <w:style w:type="character" w:styleId="1031" w:customStyle="1">
    <w:name w:val="Основной текст с отступом 3 Знак"/>
    <w:qFormat/>
    <w:rPr>
      <w:sz w:val="16"/>
      <w:szCs w:val="16"/>
    </w:rPr>
  </w:style>
  <w:style w:type="character" w:styleId="1032" w:customStyle="1">
    <w:name w:val="Ссылка указателя"/>
    <w:qFormat/>
  </w:style>
  <w:style w:type="paragraph" w:styleId="1033">
    <w:name w:val="Title"/>
    <w:basedOn w:val="956"/>
    <w:next w:val="1034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1034">
    <w:name w:val="Body Text"/>
    <w:basedOn w:val="956"/>
    <w:pPr>
      <w:spacing w:after="120"/>
    </w:pPr>
  </w:style>
  <w:style w:type="paragraph" w:styleId="1035">
    <w:name w:val="List"/>
    <w:basedOn w:val="1034"/>
  </w:style>
  <w:style w:type="paragraph" w:styleId="1036">
    <w:name w:val="Caption"/>
    <w:basedOn w:val="956"/>
    <w:link w:val="970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1037">
    <w:name w:val="index heading"/>
    <w:basedOn w:val="1033"/>
  </w:style>
  <w:style w:type="paragraph" w:styleId="1038">
    <w:name w:val="table of figures"/>
    <w:basedOn w:val="956"/>
    <w:uiPriority w:val="99"/>
    <w:unhideWhenUsed/>
    <w:qFormat/>
  </w:style>
  <w:style w:type="paragraph" w:styleId="1039" w:customStyle="1">
    <w:name w:val="Название раздела инструкции"/>
    <w:basedOn w:val="956"/>
    <w:qFormat/>
    <w:pPr>
      <w:jc w:val="center"/>
    </w:pPr>
    <w:rPr>
      <w:b/>
    </w:rPr>
  </w:style>
  <w:style w:type="paragraph" w:styleId="1040" w:customStyle="1">
    <w:name w:val="Раздел положения"/>
    <w:basedOn w:val="956"/>
    <w:qFormat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1041" w:customStyle="1">
    <w:name w:val="Подраздел раздела положения"/>
    <w:basedOn w:val="956"/>
    <w:qFormat/>
    <w:pPr>
      <w:numPr>
        <w:ilvl w:val="1"/>
        <w:numId w:val="1"/>
      </w:numPr>
      <w:jc w:val="both"/>
      <w:spacing w:before="80" w:after="80"/>
    </w:pPr>
  </w:style>
  <w:style w:type="paragraph" w:styleId="1042">
    <w:name w:val="footnote text"/>
    <w:basedOn w:val="956"/>
    <w:uiPriority w:val="99"/>
    <w:rPr>
      <w:sz w:val="20"/>
      <w:szCs w:val="20"/>
    </w:rPr>
  </w:style>
  <w:style w:type="paragraph" w:styleId="1043" w:customStyle="1">
    <w:name w:val="Шапка 1"/>
    <w:basedOn w:val="956"/>
    <w:qFormat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1044" w:customStyle="1">
    <w:name w:val="Шапка 2"/>
    <w:basedOn w:val="956"/>
    <w:qFormat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1045" w:customStyle="1">
    <w:name w:val="Шапка 3"/>
    <w:basedOn w:val="956"/>
    <w:qFormat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1046" w:customStyle="1">
    <w:name w:val="Название1"/>
    <w:basedOn w:val="956"/>
    <w:uiPriority w:val="10"/>
    <w:qFormat/>
    <w:pPr>
      <w:jc w:val="center"/>
    </w:pPr>
    <w:rPr>
      <w:szCs w:val="20"/>
    </w:rPr>
  </w:style>
  <w:style w:type="paragraph" w:styleId="1047" w:customStyle="1">
    <w:name w:val="Колонтитул"/>
    <w:basedOn w:val="956"/>
    <w:qFormat/>
  </w:style>
  <w:style w:type="paragraph" w:styleId="1048">
    <w:name w:val="Header"/>
    <w:basedOn w:val="956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1049">
    <w:name w:val="Body Text Indent"/>
    <w:basedOn w:val="956"/>
    <w:pPr>
      <w:ind w:left="360"/>
    </w:pPr>
    <w:rPr>
      <w:sz w:val="24"/>
      <w:szCs w:val="24"/>
    </w:rPr>
  </w:style>
  <w:style w:type="paragraph" w:styleId="1050">
    <w:name w:val="Footer"/>
    <w:basedOn w:val="956"/>
    <w:pPr>
      <w:tabs>
        <w:tab w:val="center" w:pos="4677" w:leader="none"/>
        <w:tab w:val="right" w:pos="9355" w:leader="none"/>
      </w:tabs>
    </w:pPr>
  </w:style>
  <w:style w:type="paragraph" w:styleId="1051">
    <w:name w:val="Body Text Indent 2"/>
    <w:basedOn w:val="956"/>
    <w:qFormat/>
    <w:pPr>
      <w:ind w:left="283"/>
      <w:spacing w:after="120" w:line="480" w:lineRule="auto"/>
    </w:pPr>
  </w:style>
  <w:style w:type="paragraph" w:styleId="1052">
    <w:name w:val="Body Text 3"/>
    <w:basedOn w:val="956"/>
    <w:qFormat/>
    <w:pPr>
      <w:spacing w:after="120"/>
    </w:pPr>
    <w:rPr>
      <w:sz w:val="16"/>
      <w:szCs w:val="16"/>
    </w:rPr>
  </w:style>
  <w:style w:type="paragraph" w:styleId="1053">
    <w:name w:val="Body Text Indent 3"/>
    <w:basedOn w:val="956"/>
    <w:qFormat/>
    <w:pPr>
      <w:ind w:left="283"/>
      <w:spacing w:after="120"/>
    </w:pPr>
    <w:rPr>
      <w:sz w:val="16"/>
      <w:szCs w:val="16"/>
    </w:rPr>
  </w:style>
  <w:style w:type="paragraph" w:styleId="1054">
    <w:name w:val="Body Text 2"/>
    <w:basedOn w:val="956"/>
    <w:qFormat/>
    <w:pPr>
      <w:spacing w:after="120" w:line="480" w:lineRule="auto"/>
    </w:pPr>
  </w:style>
  <w:style w:type="paragraph" w:styleId="1055">
    <w:name w:val="Block Text"/>
    <w:basedOn w:val="956"/>
    <w:qFormat/>
    <w:pPr>
      <w:ind w:left="-567" w:right="-766"/>
      <w:jc w:val="center"/>
    </w:pPr>
    <w:rPr>
      <w:b/>
      <w:bCs/>
      <w:sz w:val="24"/>
      <w:szCs w:val="20"/>
    </w:rPr>
  </w:style>
  <w:style w:type="paragraph" w:styleId="1056" w:customStyle="1">
    <w:name w:val="Подпункт"/>
    <w:basedOn w:val="956"/>
    <w:qFormat/>
    <w:pPr>
      <w:ind w:left="1134" w:hanging="1134"/>
      <w:jc w:val="both"/>
      <w:spacing w:line="360" w:lineRule="auto"/>
      <w:tabs>
        <w:tab w:val="left" w:pos="1134" w:leader="none"/>
      </w:tabs>
    </w:pPr>
    <w:rPr>
      <w:szCs w:val="20"/>
    </w:rPr>
  </w:style>
  <w:style w:type="paragraph" w:styleId="1057" w:customStyle="1">
    <w:name w:val="Пункт2"/>
    <w:basedOn w:val="956"/>
    <w:qFormat/>
    <w:pPr>
      <w:ind w:left="1134" w:hanging="1134"/>
      <w:keepNext/>
      <w:spacing w:before="240" w:after="120"/>
      <w:tabs>
        <w:tab w:val="left" w:pos="1134" w:leader="none"/>
      </w:tabs>
      <w:outlineLvl w:val="2"/>
    </w:pPr>
    <w:rPr>
      <w:b/>
      <w:szCs w:val="20"/>
    </w:rPr>
  </w:style>
  <w:style w:type="paragraph" w:styleId="1058">
    <w:name w:val="toc 1"/>
    <w:basedOn w:val="956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1059">
    <w:name w:val="toc 3"/>
    <w:basedOn w:val="956"/>
    <w:uiPriority w:val="39"/>
    <w:pPr>
      <w:ind w:firstLine="567"/>
      <w:jc w:val="both"/>
      <w:tabs>
        <w:tab w:val="left" w:pos="0" w:leader="none"/>
        <w:tab w:val="right" w:pos="9911" w:leader="dot"/>
      </w:tabs>
    </w:pPr>
    <w:rPr>
      <w:rFonts w:cstheme="minorHAnsi"/>
      <w:sz w:val="20"/>
      <w:szCs w:val="20"/>
    </w:rPr>
  </w:style>
  <w:style w:type="paragraph" w:styleId="1060" w:customStyle="1">
    <w:name w:val="Раздел регламента"/>
    <w:basedOn w:val="956"/>
    <w:qFormat/>
  </w:style>
  <w:style w:type="paragraph" w:styleId="1061" w:customStyle="1">
    <w:name w:val="Приложение к регламенту"/>
    <w:basedOn w:val="956"/>
    <w:qFormat/>
    <w:pPr>
      <w:jc w:val="right"/>
    </w:pPr>
  </w:style>
  <w:style w:type="paragraph" w:styleId="1062">
    <w:name w:val="toc 2"/>
    <w:basedOn w:val="956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1063">
    <w:name w:val="Balloon Text"/>
    <w:basedOn w:val="956"/>
    <w:semiHidden/>
    <w:qFormat/>
    <w:rPr>
      <w:rFonts w:ascii="Tahoma" w:hAnsi="Tahoma" w:cs="Tahoma"/>
      <w:sz w:val="16"/>
      <w:szCs w:val="16"/>
    </w:rPr>
  </w:style>
  <w:style w:type="paragraph" w:styleId="1064">
    <w:name w:val="annotation text"/>
    <w:basedOn w:val="956"/>
    <w:semiHidden/>
    <w:qFormat/>
    <w:rPr>
      <w:sz w:val="20"/>
      <w:szCs w:val="20"/>
    </w:rPr>
  </w:style>
  <w:style w:type="paragraph" w:styleId="1065">
    <w:name w:val="annotation subject"/>
    <w:basedOn w:val="1064"/>
    <w:semiHidden/>
    <w:qFormat/>
    <w:rPr>
      <w:b/>
      <w:bCs/>
    </w:rPr>
  </w:style>
  <w:style w:type="paragraph" w:styleId="1066" w:customStyle="1">
    <w:name w:val="Обычный (веб)1"/>
    <w:basedOn w:val="956"/>
    <w:uiPriority w:val="99"/>
    <w:qFormat/>
    <w:pPr>
      <w:spacing w:beforeAutospacing="1" w:afterAutospacing="1"/>
    </w:pPr>
    <w:rPr>
      <w:rFonts w:ascii="Arial Unicode MS" w:hAnsi="Arial Unicode MS" w:eastAsia="Arial Unicode MS"/>
      <w:sz w:val="24"/>
      <w:szCs w:val="24"/>
    </w:rPr>
  </w:style>
  <w:style w:type="paragraph" w:styleId="1067">
    <w:name w:val="toc 9"/>
    <w:basedOn w:val="956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1068">
    <w:name w:val="toc 5"/>
    <w:basedOn w:val="956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1069">
    <w:name w:val="toc 4"/>
    <w:basedOn w:val="956"/>
    <w:uiPriority w:val="39"/>
    <w:pPr>
      <w:ind w:left="560"/>
    </w:pPr>
    <w:rPr>
      <w:rFonts w:cstheme="minorHAnsi"/>
      <w:sz w:val="20"/>
      <w:szCs w:val="20"/>
    </w:rPr>
  </w:style>
  <w:style w:type="paragraph" w:styleId="1070" w:customStyle="1">
    <w:name w:val="Раздел положения 2"/>
    <w:basedOn w:val="956"/>
    <w:qFormat/>
    <w:pPr>
      <w:jc w:val="both"/>
      <w:pageBreakBefore/>
      <w:outlineLvl w:val="0"/>
    </w:pPr>
    <w:rPr>
      <w:b/>
    </w:rPr>
  </w:style>
  <w:style w:type="paragraph" w:styleId="1071" w:customStyle="1">
    <w:name w:val="Знак Знак Знак Знак Знак Знак Знак Знак Знак"/>
    <w:basedOn w:val="956"/>
    <w:qFormat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72">
    <w:name w:val="No Spacing"/>
    <w:basedOn w:val="956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73">
    <w:name w:val="Subtitle"/>
    <w:basedOn w:val="956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1074">
    <w:name w:val="List Paragraph"/>
    <w:basedOn w:val="956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75">
    <w:name w:val="Quote"/>
    <w:basedOn w:val="956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paragraph" w:styleId="1076">
    <w:name w:val="Intense Quote"/>
    <w:basedOn w:val="956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1077">
    <w:name w:val="TOC Heading"/>
    <w:basedOn w:val="957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78">
    <w:name w:val="E-mail Signature"/>
    <w:basedOn w:val="956"/>
    <w:uiPriority w:val="99"/>
    <w:unhideWhenUsed/>
    <w:qFormat/>
    <w:rPr>
      <w:rFonts w:eastAsia="Calibri"/>
      <w:sz w:val="24"/>
      <w:szCs w:val="24"/>
    </w:rPr>
  </w:style>
  <w:style w:type="paragraph" w:styleId="1079" w:customStyle="1">
    <w:name w:val="Знак"/>
    <w:basedOn w:val="956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0" w:customStyle="1">
    <w:name w:val="Нумерованный список ур3"/>
    <w:basedOn w:val="956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81" w:customStyle="1">
    <w:name w:val="Маркированный список 41"/>
    <w:basedOn w:val="956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82" w:customStyle="1">
    <w:name w:val="Нумерованный список ур2"/>
    <w:basedOn w:val="956"/>
    <w:qFormat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83">
    <w:name w:val="Revision"/>
    <w:uiPriority w:val="99"/>
    <w:semiHidden/>
    <w:qFormat/>
    <w:rPr>
      <w:rFonts w:eastAsia="Calibri"/>
      <w:sz w:val="24"/>
      <w:szCs w:val="24"/>
    </w:rPr>
  </w:style>
  <w:style w:type="paragraph" w:styleId="1084" w:customStyle="1">
    <w:name w:val="ConsPlusNormal"/>
    <w:qFormat/>
    <w:pPr>
      <w:ind w:firstLine="720"/>
      <w:widowControl w:val="off"/>
    </w:pPr>
    <w:rPr>
      <w:rFonts w:ascii="Arial" w:hAnsi="Arial" w:cs="Arial"/>
    </w:rPr>
  </w:style>
  <w:style w:type="paragraph" w:styleId="1085" w:customStyle="1">
    <w:name w:val="Знак Знак3 Знак Знак"/>
    <w:basedOn w:val="956"/>
    <w:qFormat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86" w:customStyle="1">
    <w:name w:val="Пункт"/>
    <w:basedOn w:val="956"/>
    <w:qFormat/>
    <w:pPr>
      <w:ind w:left="1134" w:right="800" w:hanging="1134"/>
      <w:jc w:val="both"/>
      <w:spacing w:before="120" w:line="360" w:lineRule="auto"/>
      <w:widowControl w:val="off"/>
      <w:tabs>
        <w:tab w:val="left" w:pos="1134" w:leader="none"/>
      </w:tabs>
    </w:pPr>
    <w:rPr>
      <w:rFonts w:ascii="Arial" w:hAnsi="Arial"/>
      <w:b/>
      <w:i/>
      <w:szCs w:val="20"/>
    </w:rPr>
  </w:style>
  <w:style w:type="paragraph" w:styleId="1087" w:customStyle="1">
    <w:name w:val="Абзац списка1"/>
    <w:basedOn w:val="956"/>
    <w:qFormat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088" w:customStyle="1">
    <w:name w:val="Таблица"/>
    <w:basedOn w:val="956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1089" w:customStyle="1">
    <w:name w:val="Таблица шапка"/>
    <w:basedOn w:val="956"/>
    <w:qFormat/>
    <w:pPr>
      <w:ind w:left="57" w:right="57"/>
      <w:keepNext/>
      <w:spacing w:before="40" w:after="40"/>
    </w:pPr>
    <w:rPr>
      <w:sz w:val="22"/>
      <w:szCs w:val="26"/>
    </w:rPr>
  </w:style>
  <w:style w:type="paragraph" w:styleId="1090" w:customStyle="1">
    <w:name w:val="Подподпункт"/>
    <w:basedOn w:val="1056"/>
    <w:qFormat/>
    <w:pPr>
      <w:ind w:left="5104" w:hanging="567"/>
      <w:spacing w:before="120" w:line="240" w:lineRule="auto"/>
      <w:tabs>
        <w:tab w:val="clear" w:pos="1134" w:leader="none"/>
        <w:tab w:val="left" w:pos="5104" w:leader="none"/>
      </w:tabs>
    </w:pPr>
    <w:rPr>
      <w:sz w:val="26"/>
      <w:szCs w:val="26"/>
    </w:rPr>
  </w:style>
  <w:style w:type="paragraph" w:styleId="1091" w:customStyle="1">
    <w:name w:val="УРОВЕНЬ_(а)"/>
    <w:basedOn w:val="1074"/>
    <w:qFormat/>
    <w:pPr>
      <w:numPr>
        <w:ilvl w:val="3"/>
        <w:numId w:val="4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92" w:customStyle="1">
    <w:name w:val="УРОВЕНЬ_-"/>
    <w:basedOn w:val="1074"/>
    <w:qFormat/>
    <w:pPr>
      <w:numPr>
        <w:ilvl w:val="4"/>
        <w:numId w:val="4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93" w:customStyle="1">
    <w:name w:val="УРОВЕНЬ_Абзац_тип2"/>
    <w:basedOn w:val="1074"/>
    <w:qFormat/>
    <w:pPr>
      <w:numPr>
        <w:ilvl w:val="6"/>
        <w:numId w:val="4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94" w:customStyle="1">
    <w:name w:val="УРОВЕНЬ_Абзац_тип3"/>
    <w:basedOn w:val="1074"/>
    <w:qFormat/>
    <w:pPr>
      <w:numPr>
        <w:ilvl w:val="7"/>
        <w:numId w:val="4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95" w:customStyle="1">
    <w:name w:val="УРОВЕНЬ_Подпись"/>
    <w:basedOn w:val="1074"/>
    <w:qFormat/>
    <w:pPr>
      <w:numPr>
        <w:ilvl w:val="5"/>
        <w:numId w:val="4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paragraph" w:styleId="1096" w:customStyle="1">
    <w:name w:val="Стиль Заголовок 1 + по ширине"/>
    <w:basedOn w:val="957"/>
    <w:qFormat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left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097">
    <w:name w:val="endnote text"/>
    <w:basedOn w:val="956"/>
    <w:rPr>
      <w:sz w:val="20"/>
      <w:szCs w:val="20"/>
    </w:rPr>
  </w:style>
  <w:style w:type="paragraph" w:styleId="1098" w:customStyle="1">
    <w:name w:val="Заголовок 2 КВВ"/>
    <w:basedOn w:val="956"/>
    <w:qFormat/>
    <w:pPr>
      <w:numPr>
        <w:ilvl w:val="0"/>
        <w:numId w:val="5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paragraph" w:styleId="1099" w:customStyle="1">
    <w:name w:val="Таблица текст"/>
    <w:basedOn w:val="956"/>
    <w:qFormat/>
    <w:pPr>
      <w:ind w:left="57" w:right="57"/>
      <w:spacing w:before="40" w:after="40"/>
    </w:pPr>
    <w:rPr>
      <w:sz w:val="24"/>
      <w:szCs w:val="26"/>
    </w:rPr>
  </w:style>
  <w:style w:type="paragraph" w:styleId="1100">
    <w:name w:val="Normal (Web)"/>
    <w:basedOn w:val="956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101" w:customStyle="1">
    <w:name w:val="УРОВЕНЬ_1."/>
    <w:basedOn w:val="1074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paragraph" w:styleId="1102">
    <w:name w:val="toc 6"/>
    <w:basedOn w:val="956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103">
    <w:name w:val="toc 7"/>
    <w:basedOn w:val="956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104">
    <w:name w:val="toc 8"/>
    <w:basedOn w:val="956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1105" w:customStyle="1">
    <w:name w:val="ConsNonformat"/>
    <w:qFormat/>
    <w:rPr>
      <w:rFonts w:ascii="Courier New" w:hAnsi="Courier New" w:cs="Courier New"/>
    </w:rPr>
  </w:style>
  <w:style w:type="paragraph" w:styleId="1106" w:customStyle="1">
    <w:name w:val="[РГ] Текст"/>
    <w:qFormat/>
    <w:pPr>
      <w:jc w:val="both"/>
      <w:spacing w:before="120"/>
    </w:pPr>
    <w:rPr>
      <w:rFonts w:eastAsiaTheme="minorHAnsi" w:cstheme="minorBidi"/>
      <w:sz w:val="26"/>
      <w:szCs w:val="22"/>
      <w:lang w:eastAsia="en-US"/>
    </w:rPr>
  </w:style>
  <w:style w:type="paragraph" w:styleId="1107" w:customStyle="1">
    <w:name w:val="Main 14"/>
    <w:uiPriority w:val="99"/>
    <w:qFormat/>
    <w:pPr>
      <w:ind w:firstLine="709"/>
      <w:jc w:val="both"/>
      <w:spacing w:before="60" w:line="312" w:lineRule="auto"/>
      <w:outlineLvl w:val="2"/>
    </w:pPr>
    <w:rPr>
      <w:rFonts w:eastAsia="Batang" w:cs="Times New Roman"/>
      <w:sz w:val="28"/>
      <w:szCs w:val="28"/>
      <w:lang w:eastAsia="ko-KR"/>
    </w:rPr>
  </w:style>
  <w:style w:type="paragraph" w:styleId="1108" w:customStyle="1">
    <w:name w:val="Основной текст3"/>
    <w:qFormat/>
    <w:pPr>
      <w:jc w:val="both"/>
      <w:spacing w:before="360" w:after="180" w:line="0" w:lineRule="atLeast"/>
      <w:shd w:val="clear" w:color="auto" w:fill="ffffff"/>
      <w:widowControl w:val="off"/>
    </w:pPr>
    <w:rPr>
      <w:rFonts w:eastAsia="Times New Roman" w:cs="Times New Roman"/>
      <w:sz w:val="21"/>
      <w:szCs w:val="21"/>
      <w:lang w:eastAsia="en-US"/>
    </w:rPr>
  </w:style>
  <w:style w:type="paragraph" w:styleId="1109" w:customStyle="1">
    <w:name w:val="Содержимое врезки"/>
    <w:basedOn w:val="956"/>
    <w:qFormat/>
  </w:style>
  <w:style w:type="numbering" w:styleId="1110" w:customStyle="1">
    <w:name w:val="Стиль1"/>
    <w:uiPriority w:val="99"/>
    <w:qFormat/>
  </w:style>
  <w:style w:type="numbering" w:styleId="1111" w:customStyle="1">
    <w:name w:val="Стиль2"/>
    <w:uiPriority w:val="99"/>
    <w:qFormat/>
  </w:style>
  <w:style w:type="paragraph" w:styleId="1112" w:customStyle="1">
    <w:name w:val="ConsNormal"/>
    <w:link w:val="892"/>
    <w:pPr>
      <w:contextualSpacing w:val="0"/>
      <w:ind w:left="0" w:right="0" w:firstLine="72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header" Target="header7.xml" /><Relationship Id="rId16" Type="http://schemas.openxmlformats.org/officeDocument/2006/relationships/header" Target="header8.xml" /><Relationship Id="rId17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_rels/header7.xml.rels><?xml version="1.0" encoding="UTF-8" standalone="yes"?><Relationships xmlns="http://schemas.openxmlformats.org/package/2006/relationships"></Relationships>
</file>

<file path=word/_rels/header8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7D63A-8F35-44D5-8F45-EF4AFB763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dc:language>ru-RU</dc:language>
  <cp:lastModifiedBy>chernikova_na</cp:lastModifiedBy>
  <cp:revision>9</cp:revision>
  <dcterms:created xsi:type="dcterms:W3CDTF">2024-08-28T08:34:00Z</dcterms:created>
  <dcterms:modified xsi:type="dcterms:W3CDTF">2026-06-22T05:02:12Z</dcterms:modified>
</cp:coreProperties>
</file>